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4F6F6"/>
        <w:spacing w:before="100" w:beforeAutospacing="1" w:after="100" w:afterAutospacing="1" w:line="450" w:lineRule="atLeast"/>
        <w:jc w:val="center"/>
        <w:outlineLvl w:val="1"/>
        <w:rPr>
          <w:rFonts w:ascii="微软雅黑" w:hAnsi="微软雅黑" w:eastAsia="微软雅黑" w:cs="Tahoma"/>
          <w:b/>
          <w:bCs/>
          <w:color w:val="auto"/>
          <w:kern w:val="36"/>
          <w:sz w:val="30"/>
          <w:szCs w:val="30"/>
        </w:rPr>
      </w:pPr>
      <w:bookmarkStart w:id="0" w:name="_GoBack"/>
      <w:r>
        <w:rPr>
          <w:rFonts w:hint="eastAsia" w:ascii="微软雅黑" w:hAnsi="微软雅黑" w:eastAsia="微软雅黑" w:cs="Tahoma"/>
          <w:b/>
          <w:bCs/>
          <w:color w:val="auto"/>
          <w:kern w:val="36"/>
          <w:sz w:val="30"/>
          <w:szCs w:val="30"/>
        </w:rPr>
        <w:t>关于做好2019年普通高校专升本选拔考试工作的通知</w:t>
      </w:r>
    </w:p>
    <w:bookmarkEnd w:id="0"/>
    <w:p>
      <w:pPr>
        <w:shd w:val="clear" w:color="auto" w:fill="F4F6F6"/>
        <w:spacing w:line="480" w:lineRule="auto"/>
        <w:rPr>
          <w:rFonts w:ascii="Tahoma" w:hAnsi="Tahoma" w:cs="Tahoma"/>
        </w:rPr>
      </w:pPr>
      <w:r>
        <w:rPr>
          <w:rStyle w:val="13"/>
          <w:rFonts w:ascii="Tahoma" w:hAnsi="Tahoma" w:cs="Tahoma"/>
          <w:sz w:val="30"/>
          <w:szCs w:val="30"/>
        </w:rPr>
        <w:t>各市招生考试中心（招生办公室），有关高等院校：</w:t>
      </w:r>
    </w:p>
    <w:p>
      <w:pPr>
        <w:shd w:val="clear" w:color="auto" w:fill="F4F6F6"/>
        <w:spacing w:line="480" w:lineRule="auto"/>
        <w:ind w:firstLine="600"/>
        <w:rPr>
          <w:rFonts w:ascii="Tahoma" w:hAnsi="Tahoma" w:cs="Tahoma"/>
        </w:rPr>
      </w:pPr>
      <w:r>
        <w:rPr>
          <w:rFonts w:ascii="Tahoma" w:hAnsi="Tahoma" w:cs="Tahoma"/>
          <w:sz w:val="30"/>
          <w:szCs w:val="30"/>
        </w:rPr>
        <w:t>为满足优秀应届高职高专毕业生继续学习的要求，更好地为我省经济社会发展培养高素质应用型人才，根据《山西省教育厅关于2019年选拔优秀应届高职高专毕业生升入本科学习的通知》（晋教高〔2018〕8号）精神，现将我省2019年普通高校专升本选拔考试工作的有关事项通知如下，请遵照执行。</w:t>
      </w:r>
    </w:p>
    <w:p>
      <w:pPr>
        <w:shd w:val="clear" w:color="auto" w:fill="F4F6F6"/>
        <w:spacing w:line="480" w:lineRule="auto"/>
        <w:ind w:firstLine="602"/>
        <w:rPr>
          <w:rFonts w:ascii="Tahoma" w:hAnsi="Tahoma" w:cs="Tahoma"/>
        </w:rPr>
      </w:pPr>
      <w:r>
        <w:rPr>
          <w:rStyle w:val="13"/>
          <w:rFonts w:ascii="Tahoma" w:hAnsi="Tahoma" w:cs="Tahoma"/>
          <w:sz w:val="30"/>
          <w:szCs w:val="30"/>
        </w:rPr>
        <w:t>一、选拔对象及报考条件</w:t>
      </w:r>
    </w:p>
    <w:p>
      <w:pPr>
        <w:shd w:val="clear" w:color="auto" w:fill="F4F6F6"/>
        <w:spacing w:line="480" w:lineRule="auto"/>
        <w:ind w:firstLine="600"/>
        <w:rPr>
          <w:rFonts w:ascii="Tahoma" w:hAnsi="Tahoma" w:cs="Tahoma"/>
        </w:rPr>
      </w:pPr>
      <w:r>
        <w:rPr>
          <w:rStyle w:val="13"/>
          <w:rFonts w:ascii="Tahoma" w:hAnsi="Tahoma" w:cs="Tahoma"/>
          <w:sz w:val="30"/>
          <w:szCs w:val="30"/>
        </w:rPr>
        <w:t>（一）应届高职高专毕业生。</w:t>
      </w:r>
    </w:p>
    <w:p>
      <w:pPr>
        <w:shd w:val="clear" w:color="auto" w:fill="F4F6F6"/>
        <w:spacing w:line="480" w:lineRule="auto"/>
        <w:ind w:firstLine="600"/>
        <w:rPr>
          <w:rFonts w:ascii="Tahoma" w:hAnsi="Tahoma" w:cs="Tahoma"/>
        </w:rPr>
      </w:pPr>
      <w:r>
        <w:rPr>
          <w:rFonts w:ascii="Tahoma" w:hAnsi="Tahoma" w:cs="Tahoma"/>
          <w:sz w:val="30"/>
          <w:szCs w:val="30"/>
        </w:rPr>
        <w:t>1.入学时经山西省招生考试管理中心正式录取，具有山西省普通高等教育学籍的2019年应届高职高专毕业生（含高职高专学生服义务兵役退役复学人员）；</w:t>
      </w:r>
    </w:p>
    <w:p>
      <w:pPr>
        <w:shd w:val="clear" w:color="auto" w:fill="F4F6F6"/>
        <w:spacing w:line="480" w:lineRule="auto"/>
        <w:ind w:firstLine="600"/>
        <w:rPr>
          <w:rFonts w:ascii="Tahoma" w:hAnsi="Tahoma" w:cs="Tahoma"/>
        </w:rPr>
      </w:pPr>
      <w:r>
        <w:rPr>
          <w:rFonts w:ascii="Tahoma" w:hAnsi="Tahoma" w:cs="Tahoma"/>
          <w:sz w:val="30"/>
          <w:szCs w:val="30"/>
        </w:rPr>
        <w:t>2.修完教学计划规定的课程(最后一学年课程除外)；</w:t>
      </w:r>
    </w:p>
    <w:p>
      <w:pPr>
        <w:shd w:val="clear" w:color="auto" w:fill="F4F6F6"/>
        <w:spacing w:line="480" w:lineRule="auto"/>
        <w:ind w:firstLine="600"/>
        <w:rPr>
          <w:rFonts w:ascii="Tahoma" w:hAnsi="Tahoma" w:cs="Tahoma"/>
        </w:rPr>
      </w:pPr>
      <w:r>
        <w:rPr>
          <w:rFonts w:ascii="Tahoma" w:hAnsi="Tahoma" w:cs="Tahoma"/>
          <w:sz w:val="30"/>
          <w:szCs w:val="30"/>
        </w:rPr>
        <w:t>3.没有考试不及格或经补考后无不及格课程，且补考科目不超过5门；</w:t>
      </w:r>
    </w:p>
    <w:p>
      <w:pPr>
        <w:shd w:val="clear" w:color="auto" w:fill="F4F6F6"/>
        <w:spacing w:line="480" w:lineRule="auto"/>
        <w:ind w:firstLine="600"/>
        <w:rPr>
          <w:rFonts w:ascii="Tahoma" w:hAnsi="Tahoma" w:cs="Tahoma"/>
        </w:rPr>
      </w:pPr>
      <w:r>
        <w:rPr>
          <w:rFonts w:ascii="Tahoma" w:hAnsi="Tahoma" w:cs="Tahoma"/>
          <w:sz w:val="30"/>
          <w:szCs w:val="30"/>
        </w:rPr>
        <w:t>4.所在学校对其在校期间德、智、体全面考核，择优推荐；</w:t>
      </w:r>
    </w:p>
    <w:p>
      <w:pPr>
        <w:shd w:val="clear" w:color="auto" w:fill="F4F6F6"/>
        <w:spacing w:line="480" w:lineRule="auto"/>
        <w:ind w:firstLine="600"/>
        <w:rPr>
          <w:rFonts w:ascii="Tahoma" w:hAnsi="Tahoma" w:cs="Tahoma"/>
        </w:rPr>
      </w:pPr>
      <w:r>
        <w:rPr>
          <w:rFonts w:ascii="Tahoma" w:hAnsi="Tahoma" w:cs="Tahoma"/>
          <w:sz w:val="30"/>
          <w:szCs w:val="30"/>
        </w:rPr>
        <w:t>5.思想品德好，遵纪守法，未受过纪律处分或纪律处分已解除，无考试作弊记录。</w:t>
      </w:r>
    </w:p>
    <w:p>
      <w:pPr>
        <w:shd w:val="clear" w:color="auto" w:fill="F4F6F6"/>
        <w:spacing w:line="480" w:lineRule="auto"/>
        <w:ind w:firstLine="600"/>
        <w:rPr>
          <w:rFonts w:ascii="Tahoma" w:hAnsi="Tahoma" w:cs="Tahoma"/>
        </w:rPr>
      </w:pPr>
      <w:r>
        <w:rPr>
          <w:rStyle w:val="13"/>
          <w:rFonts w:ascii="Tahoma" w:hAnsi="Tahoma" w:cs="Tahoma"/>
          <w:sz w:val="30"/>
          <w:szCs w:val="30"/>
        </w:rPr>
        <w:t>（二）普通高职高专毕业生服义务兵役退役人员。</w:t>
      </w:r>
    </w:p>
    <w:p>
      <w:pPr>
        <w:shd w:val="clear" w:color="auto" w:fill="F4F6F6"/>
        <w:spacing w:line="480" w:lineRule="auto"/>
        <w:ind w:firstLine="600"/>
        <w:rPr>
          <w:rFonts w:ascii="Tahoma" w:hAnsi="Tahoma" w:cs="Tahoma"/>
        </w:rPr>
      </w:pPr>
      <w:r>
        <w:rPr>
          <w:rFonts w:ascii="Tahoma" w:hAnsi="Tahoma" w:cs="Tahoma"/>
          <w:sz w:val="30"/>
          <w:szCs w:val="30"/>
        </w:rPr>
        <w:t>1.2018年从中国人民解放军、中国人民武装警察部队退役的本省籍义务兵；</w:t>
      </w:r>
    </w:p>
    <w:p>
      <w:pPr>
        <w:shd w:val="clear" w:color="auto" w:fill="F4F6F6"/>
        <w:spacing w:line="480" w:lineRule="auto"/>
        <w:ind w:firstLine="600"/>
        <w:rPr>
          <w:rFonts w:ascii="Tahoma" w:hAnsi="Tahoma" w:cs="Tahoma"/>
        </w:rPr>
      </w:pPr>
      <w:r>
        <w:rPr>
          <w:rFonts w:ascii="Tahoma" w:hAnsi="Tahoma" w:cs="Tahoma"/>
          <w:sz w:val="30"/>
          <w:szCs w:val="30"/>
        </w:rPr>
        <w:t>2.入伍第二年之前取得普通高职（专科）毕业学历；</w:t>
      </w:r>
    </w:p>
    <w:p>
      <w:pPr>
        <w:shd w:val="clear" w:color="auto" w:fill="F4F6F6"/>
        <w:spacing w:line="480" w:lineRule="auto"/>
        <w:ind w:firstLine="600"/>
        <w:rPr>
          <w:rFonts w:ascii="Tahoma" w:hAnsi="Tahoma" w:cs="Tahoma"/>
        </w:rPr>
      </w:pPr>
      <w:r>
        <w:rPr>
          <w:rFonts w:ascii="Tahoma" w:hAnsi="Tahoma" w:cs="Tahoma"/>
          <w:sz w:val="30"/>
          <w:szCs w:val="30"/>
        </w:rPr>
        <w:t>3.思想品德好、遵纪守法、身体健康。</w:t>
      </w:r>
    </w:p>
    <w:p>
      <w:pPr>
        <w:shd w:val="clear" w:color="auto" w:fill="F4F6F6"/>
        <w:spacing w:line="480" w:lineRule="auto"/>
        <w:ind w:firstLine="602"/>
        <w:rPr>
          <w:rFonts w:ascii="Tahoma" w:hAnsi="Tahoma" w:cs="Tahoma"/>
        </w:rPr>
      </w:pPr>
      <w:r>
        <w:rPr>
          <w:rStyle w:val="13"/>
          <w:rFonts w:ascii="Tahoma" w:hAnsi="Tahoma" w:cs="Tahoma"/>
          <w:sz w:val="30"/>
          <w:szCs w:val="30"/>
        </w:rPr>
        <w:t>二、报名办法及程序</w:t>
      </w:r>
    </w:p>
    <w:p>
      <w:pPr>
        <w:shd w:val="clear" w:color="auto" w:fill="F4F6F6"/>
        <w:spacing w:line="480" w:lineRule="auto"/>
        <w:ind w:firstLine="600"/>
        <w:rPr>
          <w:rFonts w:ascii="Tahoma" w:hAnsi="Tahoma" w:cs="Tahoma"/>
        </w:rPr>
      </w:pPr>
      <w:r>
        <w:rPr>
          <w:rFonts w:ascii="Tahoma" w:hAnsi="Tahoma" w:cs="Tahoma"/>
          <w:sz w:val="30"/>
          <w:szCs w:val="30"/>
        </w:rPr>
        <w:t>2019年专升本选拔考试实行“网上报名”、“现场确认”的报名办法。网上报名时间为2018年12月18日8时至22日18时，现场确认时间为2018年12月24日至27日。逾期不予补报和确认。</w:t>
      </w:r>
    </w:p>
    <w:p>
      <w:pPr>
        <w:shd w:val="clear" w:color="auto" w:fill="F4F6F6"/>
        <w:spacing w:line="480" w:lineRule="auto"/>
        <w:ind w:firstLine="600"/>
        <w:rPr>
          <w:rFonts w:ascii="Tahoma" w:hAnsi="Tahoma" w:cs="Tahoma"/>
        </w:rPr>
      </w:pPr>
      <w:r>
        <w:rPr>
          <w:rStyle w:val="13"/>
          <w:rFonts w:ascii="Tahoma" w:hAnsi="Tahoma" w:cs="Tahoma"/>
          <w:sz w:val="30"/>
          <w:szCs w:val="30"/>
        </w:rPr>
        <w:t>（一）网上报名。</w:t>
      </w:r>
    </w:p>
    <w:p>
      <w:pPr>
        <w:shd w:val="clear" w:color="auto" w:fill="F4F6F6"/>
        <w:spacing w:line="480" w:lineRule="auto"/>
        <w:ind w:firstLine="600"/>
        <w:rPr>
          <w:rFonts w:ascii="Tahoma" w:hAnsi="Tahoma" w:cs="Tahoma"/>
        </w:rPr>
      </w:pPr>
      <w:r>
        <w:rPr>
          <w:rFonts w:ascii="Tahoma" w:hAnsi="Tahoma" w:cs="Tahoma"/>
          <w:sz w:val="30"/>
          <w:szCs w:val="30"/>
        </w:rPr>
        <w:t>1.凡符合报名条件的考生均可在规定时间内，登录“山西招生考试网”（http://www.sxkszx.cn）进行网上报名。</w:t>
      </w:r>
    </w:p>
    <w:p>
      <w:pPr>
        <w:shd w:val="clear" w:color="auto" w:fill="F4F6F6"/>
        <w:spacing w:line="480" w:lineRule="auto"/>
        <w:ind w:firstLine="600"/>
        <w:rPr>
          <w:rFonts w:ascii="Tahoma" w:hAnsi="Tahoma" w:cs="Tahoma"/>
        </w:rPr>
      </w:pPr>
      <w:r>
        <w:rPr>
          <w:rFonts w:ascii="Tahoma" w:hAnsi="Tahoma" w:cs="Tahoma"/>
          <w:sz w:val="30"/>
          <w:szCs w:val="30"/>
        </w:rPr>
        <w:t>考生网上报名时，要根据本人所学专科专业，参照《2019年山西省普通高校专升本报名本专科对应专业参考目录》选报对应本科招生专业。所学专科专业无本科对应专业的，须由生源院校与招生院校协商，招生院校同意方可选报本科相近专业；招生院校不同意的不得选报。各相关生源院校负责及时将“招生院校与生源院校商定同意报考意见”报送省教育厅高教处和省招生考试管理中心备案（简称“备案意见”）。“备案意见”将作为这类考生录取的依据，无“备案意见”或与“备案意见”不符的，一律不予录取，所造成的后果由生源院校负责。</w:t>
      </w:r>
    </w:p>
    <w:p>
      <w:pPr>
        <w:shd w:val="clear" w:color="auto" w:fill="F4F6F6"/>
        <w:spacing w:line="480" w:lineRule="auto"/>
        <w:ind w:firstLine="600"/>
        <w:rPr>
          <w:rFonts w:ascii="Tahoma" w:hAnsi="Tahoma" w:cs="Tahoma"/>
        </w:rPr>
      </w:pPr>
      <w:r>
        <w:rPr>
          <w:rFonts w:ascii="Tahoma" w:hAnsi="Tahoma" w:cs="Tahoma"/>
          <w:sz w:val="30"/>
          <w:szCs w:val="30"/>
        </w:rPr>
        <w:t>师范类学生报考师范类专业，非师范类学生报考非师范类专业，不得跨类报考。</w:t>
      </w:r>
    </w:p>
    <w:p>
      <w:pPr>
        <w:shd w:val="clear" w:color="auto" w:fill="F4F6F6"/>
        <w:spacing w:line="480" w:lineRule="auto"/>
        <w:ind w:firstLine="600"/>
        <w:rPr>
          <w:rFonts w:ascii="Tahoma" w:hAnsi="Tahoma" w:cs="Tahoma"/>
        </w:rPr>
      </w:pPr>
      <w:r>
        <w:rPr>
          <w:rFonts w:ascii="Tahoma" w:hAnsi="Tahoma" w:cs="Tahoma"/>
          <w:sz w:val="30"/>
          <w:szCs w:val="30"/>
        </w:rPr>
        <w:t>根据《教育部 国家卫生计生委 国家中医药局关于规范医学类专业办学的通知》（教高〔2014〕7号）要求，医学类专业（指毕业生可以按照规定参加医师资格考试的专业）学生“专升本”报考本科专业，应与所学专科专业保持相同。非医药卫生大类的学生不得报考本科医学门类专业。</w:t>
      </w:r>
    </w:p>
    <w:p>
      <w:pPr>
        <w:shd w:val="clear" w:color="auto" w:fill="F4F6F6"/>
        <w:spacing w:line="480" w:lineRule="auto"/>
        <w:ind w:firstLine="600"/>
        <w:rPr>
          <w:rFonts w:ascii="Tahoma" w:hAnsi="Tahoma" w:cs="Tahoma"/>
        </w:rPr>
      </w:pPr>
      <w:r>
        <w:rPr>
          <w:rFonts w:ascii="Tahoma" w:hAnsi="Tahoma" w:cs="Tahoma"/>
          <w:sz w:val="30"/>
          <w:szCs w:val="30"/>
        </w:rPr>
        <w:t>符合“专升本”免试入学条件的考生，须与其他专升本考生一同进行网上报名、现场确认、体检、填报志愿。否则不予录取。</w:t>
      </w:r>
    </w:p>
    <w:p>
      <w:pPr>
        <w:shd w:val="clear" w:color="auto" w:fill="F4F6F6"/>
        <w:spacing w:line="480" w:lineRule="auto"/>
        <w:ind w:firstLine="600"/>
        <w:rPr>
          <w:rFonts w:ascii="Tahoma" w:hAnsi="Tahoma" w:cs="Tahoma"/>
        </w:rPr>
      </w:pPr>
      <w:r>
        <w:rPr>
          <w:rFonts w:ascii="Tahoma" w:hAnsi="Tahoma" w:cs="Tahoma"/>
          <w:sz w:val="30"/>
          <w:szCs w:val="30"/>
        </w:rPr>
        <w:t>2.考生报名后，网报系统会自动生成网报序号。网上报名期间，考生可凭网报序号和登录密码查看、修改自己所填的报名信息，网上报名结束后，不能再修改。上网查看、修改信息和现场确认，均需网报序号和密码，考生务必牢记，勿泄露给他人，以免信息被他人修改。</w:t>
      </w:r>
    </w:p>
    <w:p>
      <w:pPr>
        <w:shd w:val="clear" w:color="auto" w:fill="F4F6F6"/>
        <w:spacing w:line="480" w:lineRule="auto"/>
        <w:ind w:firstLine="600"/>
        <w:rPr>
          <w:rFonts w:ascii="Tahoma" w:hAnsi="Tahoma" w:cs="Tahoma"/>
        </w:rPr>
      </w:pPr>
      <w:r>
        <w:rPr>
          <w:rStyle w:val="13"/>
          <w:rFonts w:ascii="Tahoma" w:hAnsi="Tahoma" w:cs="Tahoma"/>
          <w:sz w:val="30"/>
          <w:szCs w:val="30"/>
        </w:rPr>
        <w:t>（二）现场确认。</w:t>
      </w:r>
    </w:p>
    <w:p>
      <w:pPr>
        <w:shd w:val="clear" w:color="auto" w:fill="F4F6F6"/>
        <w:spacing w:line="480" w:lineRule="auto"/>
        <w:ind w:firstLine="600"/>
        <w:rPr>
          <w:rFonts w:ascii="Tahoma" w:hAnsi="Tahoma" w:cs="Tahoma"/>
        </w:rPr>
      </w:pPr>
      <w:r>
        <w:rPr>
          <w:rFonts w:ascii="Tahoma" w:hAnsi="Tahoma" w:cs="Tahoma"/>
          <w:sz w:val="30"/>
          <w:szCs w:val="30"/>
        </w:rPr>
        <w:t>1.现场确认地点及须提交的材料。</w:t>
      </w:r>
    </w:p>
    <w:p>
      <w:pPr>
        <w:shd w:val="clear" w:color="auto" w:fill="F4F6F6"/>
        <w:spacing w:line="480" w:lineRule="auto"/>
        <w:ind w:firstLine="600"/>
        <w:rPr>
          <w:rFonts w:ascii="Tahoma" w:hAnsi="Tahoma" w:cs="Tahoma"/>
        </w:rPr>
      </w:pPr>
      <w:r>
        <w:rPr>
          <w:rFonts w:ascii="Tahoma" w:hAnsi="Tahoma" w:cs="Tahoma"/>
          <w:sz w:val="30"/>
          <w:szCs w:val="30"/>
        </w:rPr>
        <w:t>各市招生考试部门和有应届专科毕业生的普通高职高专院校均设立现场确认点。应届专科毕业生在本校参加现场确认，须携带本人二代《居民身份证》、《2019年山西省普通高校专升本考生思想政治品德考核及报考资格登记表》。普通高职高专毕业生服义务兵役退役人员到户籍所在市招生考试部门进行现场确认，须持《户口本》、二代《居民身份证》、《士兵退役证》、《普通高等学校高职（专科）毕业证》、《2019年山西省普通高校专升本考生思想政治品德考核及报考资格登记表》。</w:t>
      </w:r>
    </w:p>
    <w:p>
      <w:pPr>
        <w:shd w:val="clear" w:color="auto" w:fill="F4F6F6"/>
        <w:spacing w:line="480" w:lineRule="auto"/>
        <w:ind w:firstLine="600"/>
        <w:rPr>
          <w:rFonts w:ascii="Tahoma" w:hAnsi="Tahoma" w:cs="Tahoma"/>
        </w:rPr>
      </w:pPr>
      <w:r>
        <w:rPr>
          <w:rFonts w:ascii="Tahoma" w:hAnsi="Tahoma" w:cs="Tahoma"/>
          <w:sz w:val="30"/>
          <w:szCs w:val="30"/>
        </w:rPr>
        <w:t>符合获奖加分政策的考生现场确认时须填写《2019年山西省普通高校专升本选拔考试获奖考生照顾加分登记表》（从“山西招生考试网”下载），并交验获奖证书。</w:t>
      </w:r>
    </w:p>
    <w:p>
      <w:pPr>
        <w:shd w:val="clear" w:color="auto" w:fill="F4F6F6"/>
        <w:spacing w:line="480" w:lineRule="auto"/>
        <w:ind w:firstLine="600"/>
        <w:rPr>
          <w:rFonts w:ascii="Tahoma" w:hAnsi="Tahoma" w:cs="Tahoma"/>
        </w:rPr>
      </w:pPr>
      <w:r>
        <w:rPr>
          <w:rFonts w:ascii="Tahoma" w:hAnsi="Tahoma" w:cs="Tahoma"/>
          <w:sz w:val="30"/>
          <w:szCs w:val="30"/>
        </w:rPr>
        <w:t>2.现场确认的程序及要求。</w:t>
      </w:r>
    </w:p>
    <w:p>
      <w:pPr>
        <w:shd w:val="clear" w:color="auto" w:fill="F4F6F6"/>
        <w:spacing w:line="480" w:lineRule="auto"/>
        <w:ind w:firstLine="600"/>
        <w:rPr>
          <w:rFonts w:ascii="Tahoma" w:hAnsi="Tahoma" w:cs="Tahoma"/>
        </w:rPr>
      </w:pPr>
      <w:r>
        <w:rPr>
          <w:rFonts w:ascii="Tahoma" w:hAnsi="Tahoma" w:cs="Tahoma"/>
          <w:sz w:val="30"/>
          <w:szCs w:val="30"/>
        </w:rPr>
        <w:t>（1）各确认点2018年12月23日下载报名数据。</w:t>
      </w:r>
    </w:p>
    <w:p>
      <w:pPr>
        <w:shd w:val="clear" w:color="auto" w:fill="F4F6F6"/>
        <w:spacing w:line="480" w:lineRule="auto"/>
        <w:ind w:firstLine="600"/>
        <w:rPr>
          <w:rFonts w:ascii="Tahoma" w:hAnsi="Tahoma" w:cs="Tahoma"/>
        </w:rPr>
      </w:pPr>
      <w:r>
        <w:rPr>
          <w:rFonts w:ascii="Tahoma" w:hAnsi="Tahoma" w:cs="Tahoma"/>
          <w:sz w:val="30"/>
          <w:szCs w:val="30"/>
        </w:rPr>
        <w:t>（2）已完成网上报名的考生按规定时间到指定的确认点进行现场确认，办理资格审查、缴费、照相、信息确认等手续。凡未进行现场确认的考生，其报名一律无效。</w:t>
      </w:r>
    </w:p>
    <w:p>
      <w:pPr>
        <w:shd w:val="clear" w:color="auto" w:fill="F4F6F6"/>
        <w:spacing w:line="480" w:lineRule="auto"/>
        <w:ind w:firstLine="600"/>
        <w:rPr>
          <w:rFonts w:ascii="Tahoma" w:hAnsi="Tahoma" w:cs="Tahoma"/>
        </w:rPr>
      </w:pPr>
      <w:r>
        <w:rPr>
          <w:rFonts w:ascii="Tahoma" w:hAnsi="Tahoma" w:cs="Tahoma"/>
          <w:sz w:val="30"/>
          <w:szCs w:val="30"/>
        </w:rPr>
        <w:t>（3）考生的准考证号在现场确认时自动生成，考号由9位阿拉伯数字组成，第一、二位为市代码（见附件1），第三、四位为招生专业编号（见附件2），第五、六位为确认点编号（见附件3），第七至九位为考生顺序号。</w:t>
      </w:r>
    </w:p>
    <w:p>
      <w:pPr>
        <w:shd w:val="clear" w:color="auto" w:fill="F4F6F6"/>
        <w:spacing w:line="480" w:lineRule="auto"/>
        <w:ind w:firstLine="600"/>
        <w:rPr>
          <w:rFonts w:ascii="Tahoma" w:hAnsi="Tahoma" w:cs="Tahoma"/>
        </w:rPr>
      </w:pPr>
      <w:r>
        <w:rPr>
          <w:rFonts w:ascii="Tahoma" w:hAnsi="Tahoma" w:cs="Tahoma"/>
          <w:sz w:val="30"/>
          <w:szCs w:val="30"/>
        </w:rPr>
        <w:t>（4）各确认点要按规定程序打印考生报名信息确认表和数码照片，信息确认表交考生本人校对，无误后由考生签名。经考生签名的确认表是投档录取及上报教育部进行电子注册的重要依据，各确认点要高度重视校对工作，组织考生认真校对，并妥善保管确认表备查。对因考生不认真校对造成的信息错误、影响投档等后果，完全由考生本人负责。</w:t>
      </w:r>
    </w:p>
    <w:p>
      <w:pPr>
        <w:shd w:val="clear" w:color="auto" w:fill="F4F6F6"/>
        <w:spacing w:line="480" w:lineRule="auto"/>
        <w:ind w:firstLine="600"/>
        <w:rPr>
          <w:rFonts w:ascii="Tahoma" w:hAnsi="Tahoma" w:cs="Tahoma"/>
        </w:rPr>
      </w:pPr>
      <w:r>
        <w:rPr>
          <w:rFonts w:ascii="Tahoma" w:hAnsi="Tahoma" w:cs="Tahoma"/>
          <w:sz w:val="30"/>
          <w:szCs w:val="30"/>
        </w:rPr>
        <w:t>（5）现场确认完成后，考生在确认点领取或从“山西招生考试网”下载《2019年山西省普通高校专升本考生体格检查表》（贴一寸数码照片），到指定的二级甲等（含）以上医院或相应的医疗单位进行体检，并在规定时间按要求将体检表交回确认点。</w:t>
      </w:r>
    </w:p>
    <w:p>
      <w:pPr>
        <w:shd w:val="clear" w:color="auto" w:fill="F4F6F6"/>
        <w:spacing w:line="480" w:lineRule="auto"/>
        <w:ind w:firstLine="600"/>
        <w:rPr>
          <w:rFonts w:ascii="Tahoma" w:hAnsi="Tahoma" w:cs="Tahoma"/>
        </w:rPr>
      </w:pPr>
      <w:r>
        <w:rPr>
          <w:rStyle w:val="13"/>
          <w:rFonts w:ascii="Tahoma" w:hAnsi="Tahoma" w:cs="Tahoma"/>
          <w:sz w:val="30"/>
          <w:szCs w:val="30"/>
        </w:rPr>
        <w:t>（三）报名资格审查。</w:t>
      </w:r>
    </w:p>
    <w:p>
      <w:pPr>
        <w:shd w:val="clear" w:color="auto" w:fill="F4F6F6"/>
        <w:spacing w:line="480" w:lineRule="auto"/>
        <w:ind w:firstLine="600"/>
        <w:rPr>
          <w:rFonts w:ascii="Tahoma" w:hAnsi="Tahoma" w:cs="Tahoma"/>
        </w:rPr>
      </w:pPr>
      <w:r>
        <w:rPr>
          <w:rFonts w:ascii="Tahoma" w:hAnsi="Tahoma" w:cs="Tahoma"/>
          <w:sz w:val="30"/>
          <w:szCs w:val="30"/>
        </w:rPr>
        <w:t>各高职高专院校负责审查本校考生报名资格，各市招生考试部门负责审查本市考生报名资格，按照“谁主管，谁负责”的原则，实行审查责任制和责任追究制。</w:t>
      </w:r>
    </w:p>
    <w:p>
      <w:pPr>
        <w:shd w:val="clear" w:color="auto" w:fill="F4F6F6"/>
        <w:spacing w:line="480" w:lineRule="auto"/>
        <w:ind w:firstLine="600"/>
        <w:rPr>
          <w:rFonts w:ascii="Tahoma" w:hAnsi="Tahoma" w:cs="Tahoma"/>
        </w:rPr>
      </w:pPr>
      <w:r>
        <w:rPr>
          <w:rFonts w:ascii="Tahoma" w:hAnsi="Tahoma" w:cs="Tahoma"/>
          <w:sz w:val="30"/>
          <w:szCs w:val="30"/>
        </w:rPr>
        <w:t>各确认点要将报名资格审查责任明确到岗，落实到人，指定专人负责审查考生的学籍、思想政治品德考核情况和报考的招生专业，并在《2019年山西省普通高校专升本考生思想政治品德考核及报考资格登记表》中的“报考资格审查意见”栏内签字负责，实行“谁审查，谁签字，谁负责”，坚决杜绝不符合报考条件的考生参加考试。确认合格的所有考生花名表，必须由各确认点负责人审核签名，加盖各确认点单位公章，上报省招考中心。</w:t>
      </w:r>
    </w:p>
    <w:p>
      <w:pPr>
        <w:shd w:val="clear" w:color="auto" w:fill="F4F6F6"/>
        <w:spacing w:line="480" w:lineRule="auto"/>
        <w:ind w:firstLine="600"/>
        <w:rPr>
          <w:rFonts w:ascii="Tahoma" w:hAnsi="Tahoma" w:cs="Tahoma"/>
        </w:rPr>
      </w:pPr>
      <w:r>
        <w:rPr>
          <w:rFonts w:ascii="Tahoma" w:hAnsi="Tahoma" w:cs="Tahoma"/>
          <w:sz w:val="30"/>
          <w:szCs w:val="30"/>
        </w:rPr>
        <w:t>普通高职高专学生服义务兵役退役复学人员报名资格由其所在学校负责审查，单独造表，加盖学校公章，上报省招考中心。</w:t>
      </w:r>
    </w:p>
    <w:p>
      <w:pPr>
        <w:shd w:val="clear" w:color="auto" w:fill="F4F6F6"/>
        <w:spacing w:line="480" w:lineRule="auto"/>
        <w:ind w:firstLine="600"/>
        <w:rPr>
          <w:rFonts w:ascii="Tahoma" w:hAnsi="Tahoma" w:cs="Tahoma"/>
        </w:rPr>
      </w:pPr>
      <w:r>
        <w:rPr>
          <w:rFonts w:ascii="Tahoma" w:hAnsi="Tahoma" w:cs="Tahoma"/>
          <w:sz w:val="30"/>
          <w:szCs w:val="30"/>
        </w:rPr>
        <w:t>对报名工作中发生的违纪违规问题，不仅要追究当事者的责任，还要追究主管领导的责任。对工作人员参与或帮助、为不具备参加专升本考试的人员提供假证明、证件、档案，使其取得考试资格，根据《国家教育考试违规处理办法》和有关党纪法规，对其所在单位和个人分别给予相应的处分；构成犯罪的，依法追究刑事责任。</w:t>
      </w:r>
    </w:p>
    <w:p>
      <w:pPr>
        <w:shd w:val="clear" w:color="auto" w:fill="F4F6F6"/>
        <w:spacing w:line="480" w:lineRule="auto"/>
        <w:ind w:firstLine="602"/>
        <w:rPr>
          <w:rFonts w:ascii="Tahoma" w:hAnsi="Tahoma" w:cs="Tahoma"/>
        </w:rPr>
      </w:pPr>
      <w:r>
        <w:rPr>
          <w:rStyle w:val="13"/>
          <w:rFonts w:ascii="Tahoma" w:hAnsi="Tahoma" w:cs="Tahoma"/>
          <w:sz w:val="30"/>
          <w:szCs w:val="30"/>
        </w:rPr>
        <w:t>三、信息管理与报考费用</w:t>
      </w:r>
    </w:p>
    <w:p>
      <w:pPr>
        <w:shd w:val="clear" w:color="auto" w:fill="F4F6F6"/>
        <w:spacing w:line="480" w:lineRule="auto"/>
        <w:ind w:firstLine="600"/>
        <w:rPr>
          <w:rFonts w:ascii="Tahoma" w:hAnsi="Tahoma" w:cs="Tahoma"/>
        </w:rPr>
      </w:pPr>
      <w:r>
        <w:rPr>
          <w:rStyle w:val="13"/>
          <w:rFonts w:ascii="Tahoma" w:hAnsi="Tahoma" w:cs="Tahoma"/>
          <w:sz w:val="30"/>
          <w:szCs w:val="30"/>
        </w:rPr>
        <w:t>（一）信息管理。</w:t>
      </w:r>
    </w:p>
    <w:p>
      <w:pPr>
        <w:shd w:val="clear" w:color="auto" w:fill="F4F6F6"/>
        <w:spacing w:line="480" w:lineRule="auto"/>
        <w:ind w:firstLine="600"/>
        <w:rPr>
          <w:rFonts w:ascii="Tahoma" w:hAnsi="Tahoma" w:cs="Tahoma"/>
        </w:rPr>
      </w:pPr>
      <w:r>
        <w:rPr>
          <w:rFonts w:ascii="Tahoma" w:hAnsi="Tahoma" w:cs="Tahoma"/>
          <w:sz w:val="30"/>
          <w:szCs w:val="30"/>
        </w:rPr>
        <w:t>1.各市、各确认点要认真细致、规范操作，切实做好信息采集和管理工作。要指定专人对采集的考生信息进行检查校验，加强考生信息管理，确保考生信息完整、准确、安全。针对往年在考生基本信息采集过程中出现的问题，提前预防，加强各环节的管理，确保各项工作落实到位，责任到岗到人。未能认真履职造成考生信息泄露或出现弄虚作假情况的，要严肃追究相关工作人员责任；情节严重的，将追究领导责任。</w:t>
      </w:r>
    </w:p>
    <w:p>
      <w:pPr>
        <w:shd w:val="clear" w:color="auto" w:fill="F4F6F6"/>
        <w:spacing w:line="480" w:lineRule="auto"/>
        <w:ind w:firstLine="600"/>
        <w:rPr>
          <w:rFonts w:ascii="Tahoma" w:hAnsi="Tahoma" w:cs="Tahoma"/>
        </w:rPr>
      </w:pPr>
      <w:r>
        <w:rPr>
          <w:rFonts w:ascii="Tahoma" w:hAnsi="Tahoma" w:cs="Tahoma"/>
          <w:sz w:val="30"/>
          <w:szCs w:val="30"/>
        </w:rPr>
        <w:t>2.各确认点、市招生考试部门分别于2018年12月28日、2019年1月3日向市招生考试部门、省招考中心报送考生报名信息光盘（一式四份）、《2019年山西省普通高校专升本考生思想政治品德考核及报考资格登记表》、《2019年高职高专学生服义务兵役退役复学人员专升本报名汇总表》、确认合格考生花名表。</w:t>
      </w:r>
    </w:p>
    <w:p>
      <w:pPr>
        <w:shd w:val="clear" w:color="auto" w:fill="F4F6F6"/>
        <w:spacing w:line="480" w:lineRule="auto"/>
        <w:ind w:firstLine="600"/>
        <w:rPr>
          <w:rFonts w:ascii="Tahoma" w:hAnsi="Tahoma" w:cs="Tahoma"/>
        </w:rPr>
      </w:pPr>
      <w:r>
        <w:rPr>
          <w:rFonts w:ascii="Tahoma" w:hAnsi="Tahoma" w:cs="Tahoma"/>
          <w:sz w:val="30"/>
          <w:szCs w:val="30"/>
        </w:rPr>
        <w:t>各市向省招考中心报送《2019年山西省普通高校专升本选拔考试获奖考生照顾加分登记表》、《2019年山西省普通高校专升本选拔考试获奖考生照顾加分花名表》的截止时间为2019年6月5日，逾期不再接收。</w:t>
      </w:r>
    </w:p>
    <w:p>
      <w:pPr>
        <w:shd w:val="clear" w:color="auto" w:fill="F4F6F6"/>
        <w:spacing w:line="480" w:lineRule="auto"/>
        <w:ind w:firstLine="600"/>
        <w:rPr>
          <w:rFonts w:ascii="Tahoma" w:hAnsi="Tahoma" w:cs="Tahoma"/>
        </w:rPr>
      </w:pPr>
      <w:r>
        <w:rPr>
          <w:rStyle w:val="13"/>
          <w:rFonts w:ascii="Tahoma" w:hAnsi="Tahoma" w:cs="Tahoma"/>
          <w:sz w:val="30"/>
          <w:szCs w:val="30"/>
        </w:rPr>
        <w:t>（二）报考费用。</w:t>
      </w:r>
    </w:p>
    <w:p>
      <w:pPr>
        <w:shd w:val="clear" w:color="auto" w:fill="F4F6F6"/>
        <w:spacing w:line="480" w:lineRule="auto"/>
        <w:ind w:firstLine="600"/>
        <w:rPr>
          <w:rFonts w:ascii="Tahoma" w:hAnsi="Tahoma" w:cs="Tahoma"/>
        </w:rPr>
      </w:pPr>
      <w:r>
        <w:rPr>
          <w:rFonts w:ascii="Tahoma" w:hAnsi="Tahoma" w:cs="Tahoma"/>
          <w:sz w:val="30"/>
          <w:szCs w:val="30"/>
        </w:rPr>
        <w:t>报名考务费和专业测试费执行省物价局、省财政厅（晋价行字〔2004〕162号）文件规定,各市于2019年1月30日前按规定将报名考务费、专业测试费直接汇至省招考中心。</w:t>
      </w:r>
    </w:p>
    <w:p>
      <w:pPr>
        <w:shd w:val="clear" w:color="auto" w:fill="F4F6F6"/>
        <w:spacing w:line="480" w:lineRule="auto"/>
        <w:ind w:firstLine="600"/>
        <w:rPr>
          <w:rFonts w:ascii="Tahoma" w:hAnsi="Tahoma" w:cs="Tahoma"/>
        </w:rPr>
      </w:pPr>
      <w:r>
        <w:rPr>
          <w:rFonts w:ascii="Tahoma" w:hAnsi="Tahoma" w:cs="Tahoma"/>
          <w:sz w:val="30"/>
          <w:szCs w:val="30"/>
        </w:rPr>
        <w:t>开 户 行：太原市工行大营盘支行</w:t>
      </w:r>
    </w:p>
    <w:p>
      <w:pPr>
        <w:shd w:val="clear" w:color="auto" w:fill="F4F6F6"/>
        <w:spacing w:line="480" w:lineRule="auto"/>
        <w:ind w:firstLine="600"/>
        <w:rPr>
          <w:rFonts w:ascii="Tahoma" w:hAnsi="Tahoma" w:cs="Tahoma"/>
        </w:rPr>
      </w:pPr>
      <w:r>
        <w:rPr>
          <w:rFonts w:ascii="Tahoma" w:hAnsi="Tahoma" w:cs="Tahoma"/>
          <w:sz w:val="30"/>
          <w:szCs w:val="30"/>
        </w:rPr>
        <w:t>账    号：0502121809026309973</w:t>
      </w:r>
    </w:p>
    <w:p>
      <w:pPr>
        <w:shd w:val="clear" w:color="auto" w:fill="F4F6F6"/>
        <w:spacing w:line="480" w:lineRule="auto"/>
        <w:ind w:firstLine="600"/>
        <w:rPr>
          <w:rFonts w:ascii="Tahoma" w:hAnsi="Tahoma" w:cs="Tahoma"/>
        </w:rPr>
      </w:pPr>
      <w:r>
        <w:rPr>
          <w:rFonts w:ascii="Tahoma" w:hAnsi="Tahoma" w:cs="Tahoma"/>
          <w:sz w:val="30"/>
          <w:szCs w:val="30"/>
        </w:rPr>
        <w:t>收款单位：山西省招生考试管理中心</w:t>
      </w:r>
    </w:p>
    <w:p>
      <w:pPr>
        <w:shd w:val="clear" w:color="auto" w:fill="F4F6F6"/>
        <w:spacing w:line="480" w:lineRule="auto"/>
        <w:ind w:firstLine="602"/>
        <w:rPr>
          <w:rFonts w:ascii="Tahoma" w:hAnsi="Tahoma" w:cs="Tahoma"/>
        </w:rPr>
      </w:pPr>
      <w:r>
        <w:rPr>
          <w:rStyle w:val="13"/>
          <w:rFonts w:ascii="Tahoma" w:hAnsi="Tahoma" w:cs="Tahoma"/>
          <w:sz w:val="30"/>
          <w:szCs w:val="30"/>
        </w:rPr>
        <w:t>四、思想政治品德考核</w:t>
      </w:r>
    </w:p>
    <w:p>
      <w:pPr>
        <w:shd w:val="clear" w:color="auto" w:fill="F4F6F6"/>
        <w:spacing w:line="480" w:lineRule="auto"/>
        <w:ind w:firstLine="600"/>
        <w:rPr>
          <w:rFonts w:ascii="Tahoma" w:hAnsi="Tahoma" w:cs="Tahoma"/>
        </w:rPr>
      </w:pPr>
      <w:r>
        <w:rPr>
          <w:rFonts w:ascii="Tahoma" w:hAnsi="Tahoma" w:cs="Tahoma"/>
          <w:sz w:val="30"/>
          <w:szCs w:val="30"/>
        </w:rPr>
        <w:t>（一）应届专科毕业生的思想政治品德考核工作由其所在学校或院（系）党组织负责，普通高职高专毕业生服义务兵役退役人员的思想政治品德考核由考生单位或户籍所在乡镇（街道办事处）党组织负责，对考生的政治态度、思想品德作出全面鉴定，鉴定内容要完整、准确地填写在《2019年山西省普通高校专升本考生思想政治品德考核及报考资格登记表》的有关栏内，并加盖党组织印章，对其真实性负责。此项工作在现场确认前完成。</w:t>
      </w:r>
    </w:p>
    <w:p>
      <w:pPr>
        <w:shd w:val="clear" w:color="auto" w:fill="F4F6F6"/>
        <w:spacing w:line="480" w:lineRule="auto"/>
        <w:ind w:firstLine="600"/>
        <w:jc w:val="both"/>
        <w:rPr>
          <w:rFonts w:ascii="Tahoma" w:hAnsi="Tahoma" w:cs="Tahoma"/>
        </w:rPr>
      </w:pPr>
      <w:r>
        <w:rPr>
          <w:rFonts w:ascii="Tahoma" w:hAnsi="Tahoma" w:cs="Tahoma"/>
          <w:sz w:val="30"/>
          <w:szCs w:val="30"/>
        </w:rPr>
        <w:t>（二）考生有下列情形之一且未能提供对错误的认识及改正错误的现实表现等证明材料的,应认定为思想政治品德考核不合格:</w:t>
      </w:r>
    </w:p>
    <w:p>
      <w:pPr>
        <w:shd w:val="clear" w:color="auto" w:fill="F4F6F6"/>
        <w:spacing w:line="480" w:lineRule="auto"/>
        <w:ind w:firstLine="600"/>
        <w:jc w:val="both"/>
        <w:rPr>
          <w:rFonts w:ascii="Tahoma" w:hAnsi="Tahoma" w:cs="Tahoma"/>
        </w:rPr>
      </w:pPr>
      <w:r>
        <w:rPr>
          <w:rFonts w:ascii="Tahoma" w:hAnsi="Tahoma" w:cs="Tahoma"/>
          <w:sz w:val="30"/>
          <w:szCs w:val="30"/>
        </w:rPr>
        <w:t>1.有反对宪法所确定的基本原则的言行或参加邪教组织，情节严重的；</w:t>
      </w:r>
    </w:p>
    <w:p>
      <w:pPr>
        <w:shd w:val="clear" w:color="auto" w:fill="F4F6F6"/>
        <w:spacing w:line="480" w:lineRule="auto"/>
        <w:ind w:firstLine="600"/>
        <w:jc w:val="both"/>
        <w:rPr>
          <w:rFonts w:ascii="Tahoma" w:hAnsi="Tahoma" w:cs="Tahoma"/>
        </w:rPr>
      </w:pPr>
      <w:r>
        <w:rPr>
          <w:rFonts w:ascii="Tahoma" w:hAnsi="Tahoma" w:cs="Tahoma"/>
          <w:sz w:val="30"/>
          <w:szCs w:val="30"/>
        </w:rPr>
        <w:t>2.触犯刑法、治安管理处罚法，受到刑事处罚或治安管理处罚且情节严重、性质恶劣的。</w:t>
      </w:r>
    </w:p>
    <w:p>
      <w:pPr>
        <w:shd w:val="clear" w:color="auto" w:fill="F4F6F6"/>
        <w:spacing w:line="480" w:lineRule="auto"/>
        <w:ind w:firstLine="600"/>
        <w:jc w:val="both"/>
        <w:rPr>
          <w:rFonts w:ascii="Tahoma" w:hAnsi="Tahoma" w:cs="Tahoma"/>
        </w:rPr>
      </w:pPr>
      <w:r>
        <w:rPr>
          <w:rFonts w:ascii="Tahoma" w:hAnsi="Tahoma" w:cs="Tahoma"/>
          <w:sz w:val="30"/>
          <w:szCs w:val="30"/>
        </w:rPr>
        <w:t>（三）各市、各确认点要按照规定，对所有考生的思想政治品德考核材料进行认真审查，思想政治品德考核不合格者不予确认。</w:t>
      </w:r>
    </w:p>
    <w:p>
      <w:pPr>
        <w:shd w:val="clear" w:color="auto" w:fill="F4F6F6"/>
        <w:spacing w:line="480" w:lineRule="auto"/>
        <w:ind w:firstLine="602"/>
        <w:jc w:val="both"/>
        <w:rPr>
          <w:rFonts w:ascii="Tahoma" w:hAnsi="Tahoma" w:cs="Tahoma"/>
        </w:rPr>
      </w:pPr>
      <w:r>
        <w:rPr>
          <w:rStyle w:val="13"/>
          <w:rFonts w:ascii="Tahoma" w:hAnsi="Tahoma" w:cs="Tahoma"/>
          <w:sz w:val="30"/>
          <w:szCs w:val="30"/>
        </w:rPr>
        <w:t>五、体检</w:t>
      </w:r>
    </w:p>
    <w:p>
      <w:pPr>
        <w:shd w:val="clear" w:color="auto" w:fill="F4F6F6"/>
        <w:spacing w:line="480" w:lineRule="auto"/>
        <w:ind w:firstLine="600"/>
        <w:jc w:val="both"/>
        <w:rPr>
          <w:rFonts w:ascii="Tahoma" w:hAnsi="Tahoma" w:cs="Tahoma"/>
        </w:rPr>
      </w:pPr>
      <w:r>
        <w:rPr>
          <w:rFonts w:ascii="Tahoma" w:hAnsi="Tahoma" w:cs="Tahoma"/>
          <w:sz w:val="30"/>
          <w:szCs w:val="30"/>
        </w:rPr>
        <w:t>考生的体检工作在2019年3月15日前进行，由各确认点负责组织。体检医院须设在二级甲等（含）以上医院或相应的医疗单位，主检医生应由具有副主任医师以上职称、责任心强的医生担任。主检医院或相应的医疗单位须按教育部、卫生部、中国残疾人联合会印发的《普通高等学校招生体检工作指导意见》（教学〔2003〕3号）和教育部、卫生部《关于普通高等学校招生学生入学身体检查取消乙肝项目检测有关问题的通知》（教学厅〔2010〕2号）的有关要求对考生进行体检，作出相应的、规范准确的结论，并将体检结论认真填写在《考生体格检查表》上，加盖医院公章，对其真实性负责。非指定的医疗机构为考生作出的体检结论无效。</w:t>
      </w:r>
    </w:p>
    <w:p>
      <w:pPr>
        <w:shd w:val="clear" w:color="auto" w:fill="F4F6F6"/>
        <w:spacing w:line="480" w:lineRule="auto"/>
        <w:ind w:firstLine="600"/>
        <w:rPr>
          <w:rFonts w:ascii="Tahoma" w:hAnsi="Tahoma" w:cs="Tahoma"/>
        </w:rPr>
      </w:pPr>
      <w:r>
        <w:rPr>
          <w:rFonts w:ascii="Tahoma" w:hAnsi="Tahoma" w:cs="Tahoma"/>
          <w:sz w:val="30"/>
          <w:szCs w:val="30"/>
        </w:rPr>
        <w:t>考生须在《考生体格检查表》上如实填写本人既往病史，体检医院要在每个考生的体检表上认真填写“报考专业指导建议”中的项目，并告知考生本人。</w:t>
      </w:r>
    </w:p>
    <w:p>
      <w:pPr>
        <w:shd w:val="clear" w:color="auto" w:fill="F4F6F6"/>
        <w:spacing w:line="480" w:lineRule="auto"/>
        <w:ind w:firstLine="600"/>
        <w:jc w:val="both"/>
        <w:rPr>
          <w:rFonts w:ascii="Tahoma" w:hAnsi="Tahoma" w:cs="Tahoma"/>
        </w:rPr>
      </w:pPr>
      <w:r>
        <w:rPr>
          <w:rFonts w:ascii="Tahoma" w:hAnsi="Tahoma" w:cs="Tahoma"/>
          <w:sz w:val="30"/>
          <w:szCs w:val="30"/>
        </w:rPr>
        <w:t>体检结束后，各确认点须组织专门人员对所有参加体检的考生逐个进行全面审核，重点审核有无偏宽偏严、错检漏检、体检结果含糊不清、字迹潦草和其它倾向性问题，如发现问题及时予以纠正。各确认点须按规定程序将考生体检信息准确输入计算机，打印《考生体检信息确认表》，经考生本人核对签字确认，对其体检信息准确性负责，任何人不得代签。</w:t>
      </w:r>
    </w:p>
    <w:p>
      <w:pPr>
        <w:shd w:val="clear" w:color="auto" w:fill="F4F6F6"/>
        <w:spacing w:line="480" w:lineRule="auto"/>
        <w:ind w:firstLine="600"/>
        <w:jc w:val="both"/>
        <w:rPr>
          <w:rFonts w:ascii="Tahoma" w:hAnsi="Tahoma" w:cs="Tahoma"/>
        </w:rPr>
      </w:pPr>
      <w:r>
        <w:rPr>
          <w:rFonts w:ascii="Tahoma" w:hAnsi="Tahoma" w:cs="Tahoma"/>
          <w:sz w:val="30"/>
          <w:szCs w:val="30"/>
        </w:rPr>
        <w:t>考生如对体检结论有异议，可以向市招生考试部门提出复检申请，由市招生考试部门安排在指定市级复检医院体检，3月25日前作出复检结论。考生若对市复检结果仍有异议，可由市招生考试部门在3月30日前向省招考中心提出复检申请，由省招考中心统一安排在终检医院进行体检并作出最终裁定结论，录取时以终检结论为准。对在体检工作中弄虚作假的相关人员，要根据有关规定严肃处理。</w:t>
      </w:r>
    </w:p>
    <w:p>
      <w:pPr>
        <w:shd w:val="clear" w:color="auto" w:fill="F4F6F6"/>
        <w:spacing w:line="480" w:lineRule="auto"/>
        <w:ind w:firstLine="600"/>
        <w:jc w:val="both"/>
        <w:rPr>
          <w:rFonts w:ascii="Tahoma" w:hAnsi="Tahoma" w:cs="Tahoma"/>
        </w:rPr>
      </w:pPr>
      <w:r>
        <w:rPr>
          <w:rFonts w:ascii="Tahoma" w:hAnsi="Tahoma" w:cs="Tahoma"/>
          <w:sz w:val="30"/>
          <w:szCs w:val="30"/>
        </w:rPr>
        <w:t>各市招生考试部门核对体检信息无误后，2019年6月10日前按要求将《考生体格检查表》和体检信息光盘（一式四份）报省招考中心，《考生体检信息确认表》由确认点留存备查。</w:t>
      </w:r>
    </w:p>
    <w:p>
      <w:pPr>
        <w:shd w:val="clear" w:color="auto" w:fill="F4F6F6"/>
        <w:spacing w:line="480" w:lineRule="auto"/>
        <w:ind w:firstLine="602"/>
        <w:jc w:val="both"/>
        <w:rPr>
          <w:rFonts w:ascii="Tahoma" w:hAnsi="Tahoma" w:cs="Tahoma"/>
        </w:rPr>
      </w:pPr>
      <w:r>
        <w:rPr>
          <w:rStyle w:val="13"/>
          <w:rFonts w:ascii="Tahoma" w:hAnsi="Tahoma" w:cs="Tahoma"/>
          <w:sz w:val="30"/>
          <w:szCs w:val="30"/>
        </w:rPr>
        <w:t>六、考试</w:t>
      </w:r>
    </w:p>
    <w:p>
      <w:pPr>
        <w:shd w:val="clear" w:color="auto" w:fill="F4F6F6"/>
        <w:spacing w:line="480" w:lineRule="auto"/>
        <w:ind w:firstLine="600"/>
        <w:jc w:val="both"/>
        <w:rPr>
          <w:rFonts w:ascii="Tahoma" w:hAnsi="Tahoma" w:cs="Tahoma"/>
        </w:rPr>
      </w:pPr>
      <w:r>
        <w:rPr>
          <w:rFonts w:ascii="Tahoma" w:hAnsi="Tahoma" w:cs="Tahoma"/>
          <w:sz w:val="30"/>
          <w:szCs w:val="30"/>
        </w:rPr>
        <w:t>（一）考试科目、内容及时间：考生根据所报招生专业参加三门课程考试，其中两门公共基础课、一门专业综合课，两门公共基础课满分均为150分，专业综合课满分为200分，总分为500分。体育教育、音乐学、音乐表演、舞蹈学、舞蹈编导、播音与主持艺术专业另加专业测试，英语专业另加口语测试。英语口语测试要求合格，不计入总分。非英语专业的英语学科不考听力。各专业考试科目及时间见附件2。</w:t>
      </w:r>
    </w:p>
    <w:p>
      <w:pPr>
        <w:shd w:val="clear" w:color="auto" w:fill="F4F6F6"/>
        <w:spacing w:line="480" w:lineRule="auto"/>
        <w:ind w:firstLine="600"/>
        <w:jc w:val="both"/>
        <w:rPr>
          <w:rFonts w:ascii="Tahoma" w:hAnsi="Tahoma" w:cs="Tahoma"/>
        </w:rPr>
      </w:pPr>
      <w:r>
        <w:rPr>
          <w:rFonts w:ascii="Tahoma" w:hAnsi="Tahoma" w:cs="Tahoma"/>
          <w:sz w:val="30"/>
          <w:szCs w:val="30"/>
        </w:rPr>
        <w:t>今年专升本考试时，考生需将各科试题的答案全部涂写在答题卡上，答在试题上的一律无效。各市招生考试部门及确认点负责指导和培训考生正确涂写答题卡。</w:t>
      </w:r>
    </w:p>
    <w:p>
      <w:pPr>
        <w:shd w:val="clear" w:color="auto" w:fill="F4F6F6"/>
        <w:spacing w:line="480" w:lineRule="auto"/>
        <w:ind w:firstLine="600"/>
        <w:rPr>
          <w:rFonts w:ascii="Tahoma" w:hAnsi="Tahoma" w:cs="Tahoma"/>
        </w:rPr>
      </w:pPr>
      <w:r>
        <w:rPr>
          <w:rFonts w:ascii="Tahoma" w:hAnsi="Tahoma" w:cs="Tahoma"/>
          <w:sz w:val="30"/>
          <w:szCs w:val="30"/>
        </w:rPr>
        <w:t>专升本选拔考试时间：</w:t>
      </w:r>
    </w:p>
    <w:p>
      <w:pPr>
        <w:shd w:val="clear" w:color="auto" w:fill="F4F6F6"/>
        <w:spacing w:line="480" w:lineRule="auto"/>
        <w:ind w:firstLine="600"/>
        <w:rPr>
          <w:rFonts w:ascii="Tahoma" w:hAnsi="Tahoma" w:cs="Tahoma"/>
        </w:rPr>
      </w:pPr>
      <w:r>
        <w:rPr>
          <w:rFonts w:ascii="Tahoma" w:hAnsi="Tahoma" w:cs="Tahoma"/>
          <w:sz w:val="30"/>
          <w:szCs w:val="30"/>
        </w:rPr>
        <w:t>2019年6月9日</w:t>
      </w:r>
      <w:r>
        <w:rPr>
          <w:rFonts w:ascii="Tahoma" w:hAnsi="Tahoma" w:cs="Tahoma"/>
          <w:spacing w:val="-6"/>
          <w:sz w:val="30"/>
          <w:szCs w:val="30"/>
        </w:rPr>
        <w:t> 上午　8</w:t>
      </w:r>
      <w:r>
        <w:rPr>
          <w:rFonts w:hint="eastAsia"/>
          <w:spacing w:val="-6"/>
          <w:sz w:val="30"/>
          <w:szCs w:val="30"/>
        </w:rPr>
        <w:t>∶</w:t>
      </w:r>
      <w:r>
        <w:rPr>
          <w:rFonts w:ascii="Tahoma" w:hAnsi="Tahoma" w:cs="Tahoma"/>
          <w:spacing w:val="-6"/>
          <w:sz w:val="30"/>
          <w:szCs w:val="30"/>
        </w:rPr>
        <w:t>30－11</w:t>
      </w:r>
      <w:r>
        <w:rPr>
          <w:rFonts w:hint="eastAsia"/>
          <w:spacing w:val="-6"/>
          <w:sz w:val="30"/>
          <w:szCs w:val="30"/>
        </w:rPr>
        <w:t>∶</w:t>
      </w:r>
      <w:r>
        <w:rPr>
          <w:rFonts w:ascii="Tahoma" w:hAnsi="Tahoma" w:cs="Tahoma"/>
          <w:spacing w:val="-6"/>
          <w:sz w:val="30"/>
          <w:szCs w:val="30"/>
        </w:rPr>
        <w:t>00　专业综合（科目一）</w:t>
      </w:r>
    </w:p>
    <w:p>
      <w:pPr>
        <w:shd w:val="clear" w:color="auto" w:fill="F4F6F6"/>
        <w:spacing w:line="480" w:lineRule="auto"/>
        <w:ind w:firstLine="600"/>
        <w:rPr>
          <w:rFonts w:ascii="Tahoma" w:hAnsi="Tahoma" w:cs="Tahoma"/>
        </w:rPr>
      </w:pPr>
      <w:r>
        <w:rPr>
          <w:rFonts w:ascii="Tahoma" w:hAnsi="Tahoma" w:cs="Tahoma"/>
          <w:sz w:val="30"/>
          <w:szCs w:val="30"/>
        </w:rPr>
        <w:t>　　　　　　　　下午　2</w:t>
      </w:r>
      <w:r>
        <w:rPr>
          <w:rFonts w:hint="eastAsia"/>
          <w:sz w:val="30"/>
          <w:szCs w:val="30"/>
        </w:rPr>
        <w:t>∶</w:t>
      </w:r>
      <w:r>
        <w:rPr>
          <w:rFonts w:ascii="Tahoma" w:hAnsi="Tahoma" w:cs="Tahoma"/>
          <w:sz w:val="30"/>
          <w:szCs w:val="30"/>
        </w:rPr>
        <w:t>00－4</w:t>
      </w:r>
      <w:r>
        <w:rPr>
          <w:rFonts w:hint="eastAsia"/>
          <w:sz w:val="30"/>
          <w:szCs w:val="30"/>
        </w:rPr>
        <w:t>∶</w:t>
      </w:r>
      <w:r>
        <w:rPr>
          <w:rFonts w:ascii="Tahoma" w:hAnsi="Tahoma" w:cs="Tahoma"/>
          <w:sz w:val="30"/>
          <w:szCs w:val="30"/>
        </w:rPr>
        <w:t>00　英语（科目二）</w:t>
      </w:r>
    </w:p>
    <w:p>
      <w:pPr>
        <w:shd w:val="clear" w:color="auto" w:fill="F4F6F6"/>
        <w:spacing w:line="480" w:lineRule="auto"/>
        <w:ind w:firstLine="600"/>
        <w:rPr>
          <w:rFonts w:ascii="Tahoma" w:hAnsi="Tahoma" w:cs="Tahoma"/>
        </w:rPr>
      </w:pPr>
      <w:r>
        <w:rPr>
          <w:rFonts w:ascii="Tahoma" w:hAnsi="Tahoma" w:cs="Tahoma"/>
          <w:sz w:val="30"/>
          <w:szCs w:val="30"/>
        </w:rPr>
        <w:t>　　　　　　　　　　　5</w:t>
      </w:r>
      <w:r>
        <w:rPr>
          <w:rFonts w:hint="eastAsia"/>
          <w:sz w:val="30"/>
          <w:szCs w:val="30"/>
        </w:rPr>
        <w:t>∶</w:t>
      </w:r>
      <w:r>
        <w:rPr>
          <w:rFonts w:ascii="Tahoma" w:hAnsi="Tahoma" w:cs="Tahoma"/>
          <w:sz w:val="30"/>
          <w:szCs w:val="30"/>
        </w:rPr>
        <w:t>00－7</w:t>
      </w:r>
      <w:r>
        <w:rPr>
          <w:rFonts w:hint="eastAsia"/>
          <w:sz w:val="30"/>
          <w:szCs w:val="30"/>
        </w:rPr>
        <w:t>∶</w:t>
      </w:r>
      <w:r>
        <w:rPr>
          <w:rFonts w:ascii="Tahoma" w:hAnsi="Tahoma" w:cs="Tahoma"/>
          <w:sz w:val="30"/>
          <w:szCs w:val="30"/>
        </w:rPr>
        <w:t>00　大学语文等（科目三）</w:t>
      </w:r>
    </w:p>
    <w:p>
      <w:pPr>
        <w:shd w:val="clear" w:color="auto" w:fill="F4F6F6"/>
        <w:spacing w:line="480" w:lineRule="auto"/>
        <w:ind w:firstLine="600"/>
        <w:rPr>
          <w:rFonts w:ascii="Tahoma" w:hAnsi="Tahoma" w:cs="Tahoma"/>
        </w:rPr>
      </w:pPr>
      <w:r>
        <w:rPr>
          <w:rFonts w:ascii="Tahoma" w:hAnsi="Tahoma" w:cs="Tahoma"/>
          <w:sz w:val="30"/>
          <w:szCs w:val="30"/>
        </w:rPr>
        <w:t>色彩科目的考试时间为3小时（8</w:t>
      </w:r>
      <w:r>
        <w:rPr>
          <w:rFonts w:hint="eastAsia"/>
          <w:sz w:val="30"/>
          <w:szCs w:val="30"/>
        </w:rPr>
        <w:t>∶</w:t>
      </w:r>
      <w:r>
        <w:rPr>
          <w:rFonts w:ascii="Tahoma" w:hAnsi="Tahoma" w:cs="Tahoma"/>
          <w:sz w:val="30"/>
          <w:szCs w:val="30"/>
        </w:rPr>
        <w:t>30－11</w:t>
      </w:r>
      <w:r>
        <w:rPr>
          <w:rFonts w:hint="eastAsia"/>
          <w:sz w:val="30"/>
          <w:szCs w:val="30"/>
        </w:rPr>
        <w:t>∶</w:t>
      </w:r>
      <w:r>
        <w:rPr>
          <w:rFonts w:ascii="Tahoma" w:hAnsi="Tahoma" w:cs="Tahoma"/>
          <w:sz w:val="30"/>
          <w:szCs w:val="30"/>
        </w:rPr>
        <w:t>30）。考生所用画具、马扎自备，作画须用水粉、水彩颜料，不得用油画颜料。</w:t>
      </w:r>
    </w:p>
    <w:p>
      <w:pPr>
        <w:shd w:val="clear" w:color="auto" w:fill="F4F6F6"/>
        <w:spacing w:line="480" w:lineRule="auto"/>
        <w:ind w:firstLine="600"/>
        <w:rPr>
          <w:rFonts w:ascii="Tahoma" w:hAnsi="Tahoma" w:cs="Tahoma"/>
        </w:rPr>
      </w:pPr>
      <w:r>
        <w:rPr>
          <w:rFonts w:ascii="Tahoma" w:hAnsi="Tahoma" w:cs="Tahoma"/>
          <w:sz w:val="30"/>
          <w:szCs w:val="30"/>
        </w:rPr>
        <w:t>（二）考生的考场号和座位号，由省招考中心和市招生考试部门使用计算机按专业随机编排，在考试前一周统一公布，任何单位和个人不得提前公布或泄露。每考场安排30名考生，尾数可设混合考场。</w:t>
      </w:r>
    </w:p>
    <w:p>
      <w:pPr>
        <w:shd w:val="clear" w:color="auto" w:fill="F4F6F6"/>
        <w:spacing w:line="480" w:lineRule="auto"/>
        <w:ind w:firstLine="600"/>
        <w:rPr>
          <w:rFonts w:ascii="Tahoma" w:hAnsi="Tahoma" w:cs="Tahoma"/>
        </w:rPr>
      </w:pPr>
      <w:r>
        <w:rPr>
          <w:rFonts w:ascii="Tahoma" w:hAnsi="Tahoma" w:cs="Tahoma"/>
          <w:sz w:val="30"/>
          <w:szCs w:val="30"/>
        </w:rPr>
        <w:t>英语听力考场要配备好放音和电源设备，考试时间不超过1小时。</w:t>
      </w:r>
    </w:p>
    <w:p>
      <w:pPr>
        <w:shd w:val="clear" w:color="auto" w:fill="F4F6F6"/>
        <w:spacing w:line="480" w:lineRule="auto"/>
        <w:ind w:firstLine="600"/>
        <w:rPr>
          <w:rFonts w:ascii="Tahoma" w:hAnsi="Tahoma" w:cs="Tahoma"/>
        </w:rPr>
      </w:pPr>
      <w:r>
        <w:rPr>
          <w:rFonts w:ascii="Tahoma" w:hAnsi="Tahoma" w:cs="Tahoma"/>
          <w:sz w:val="30"/>
          <w:szCs w:val="30"/>
        </w:rPr>
        <w:t>市招生考试部门负责打印考生《准考证》。确认点负责通知考生考试的有关事项。</w:t>
      </w:r>
    </w:p>
    <w:p>
      <w:pPr>
        <w:shd w:val="clear" w:color="auto" w:fill="F4F6F6"/>
        <w:spacing w:line="480" w:lineRule="auto"/>
        <w:ind w:firstLine="600"/>
        <w:rPr>
          <w:rFonts w:ascii="Tahoma" w:hAnsi="Tahoma" w:cs="Tahoma"/>
        </w:rPr>
      </w:pPr>
      <w:r>
        <w:rPr>
          <w:rFonts w:ascii="Tahoma" w:hAnsi="Tahoma" w:cs="Tahoma"/>
          <w:sz w:val="30"/>
          <w:szCs w:val="30"/>
        </w:rPr>
        <w:t>（三）各市招生考试部门和高职高专院校要加强考生的诚信教育。考试前一周，考生到确认点认真阅读《中华人民共和国刑法修正案（九）》有关考试作弊处理规定、《国家教育考试违规处理办法》，签订《考生诚信考试承诺书》后，领取《准考证》。考生凭《准考证》和二代《居民身份证》参加考试。</w:t>
      </w:r>
    </w:p>
    <w:p>
      <w:pPr>
        <w:shd w:val="clear" w:color="auto" w:fill="F4F6F6"/>
        <w:spacing w:line="480" w:lineRule="auto"/>
        <w:ind w:firstLine="600"/>
        <w:rPr>
          <w:rFonts w:ascii="Tahoma" w:hAnsi="Tahoma" w:cs="Tahoma"/>
        </w:rPr>
      </w:pPr>
      <w:r>
        <w:rPr>
          <w:rFonts w:ascii="Tahoma" w:hAnsi="Tahoma" w:cs="Tahoma"/>
          <w:sz w:val="30"/>
          <w:szCs w:val="30"/>
        </w:rPr>
        <w:t>（四）加强考试管理，确保考风考纪严明有序。各市招生考试部门作为本市组织专升本考试的责任主体，主要负责同志为第一责任人。要严格执行《国家教育考试考务安全保密工作规定》，加强安全保密设施建设，完善安全保密规章制度。市招生考试部门、考点、工作人员要实行严格的岗位责任制和责任追究制，层层签订安全保密责任书，切实做好试题、答题卡在运送、交接、保管和施考等各个环节的安全保密工作，确保安全保密万无一失。要选派专门的工作人员，设立专门的保密室，配备专门的运输车辆；保密室必须符合规定要求，考前验收合格方可使用；试题、答题卡保管、收发现场必须有视频监控，实时录像；考试必须在标准化考点进行，配置金属探测仪、无线电信号屏蔽仪等设备，视频监控要做到全覆盖、不留死角，并要做到实时监控、录像（所有和考试有关的视频录像至少要保存半年以上）；要加强考试队伍建设，做好考试工作人员的选聘和考前培训工作，认真组织学习《山西省普通高校专升本选拔考试考务工作手册》，熟练掌握各工作环节操作规程，职责分明，责任到人；要严格执行考试工作人员回避制度，实行随机抽派监考员办法；要加强考风考纪建设，进一步细化操作规程，提升考试实时监控的能力，着力抓好考试实施和考场管理，严格执行备用试题、备用答题卡的使用和管理办法，切实保障考场秩序；所有工作人员和考生须接受安全检查后方可进入考点，严禁监考员携带对讲机、手机等无线通讯工具进入考场，考生携带的手机等考试规定以外的物品，须放置在考场设置的“考生物品存放处”，不按规定存放的，按作弊处理；严禁任何人在考试时将试题和答题卡带出或传出考场，重点防范和打击有组织、有预谋的团伙舞弊、替考以及利用现代化通讯工具作弊等违规行为；进一步完善和落实突发事件应急保障机制、值班制度和第一时间报告制度，认真进行应急演练，提高应急处置能力,妥善处理突发事件，确保专升本考试安全、顺利实施。</w:t>
      </w:r>
    </w:p>
    <w:p>
      <w:pPr>
        <w:shd w:val="clear" w:color="auto" w:fill="F4F6F6"/>
        <w:spacing w:line="480" w:lineRule="auto"/>
        <w:ind w:firstLine="600"/>
        <w:rPr>
          <w:rFonts w:ascii="Tahoma" w:hAnsi="Tahoma" w:cs="Tahoma"/>
        </w:rPr>
      </w:pPr>
      <w:r>
        <w:rPr>
          <w:rFonts w:ascii="Tahoma" w:hAnsi="Tahoma" w:cs="Tahoma"/>
          <w:sz w:val="30"/>
          <w:szCs w:val="30"/>
        </w:rPr>
        <w:t>考试期间，省招考中心向各市派出巡视检查团，监督检查所到市专升本考试情况，各市要积极支持和配合省派巡视检查团的工作。</w:t>
      </w:r>
    </w:p>
    <w:p>
      <w:pPr>
        <w:shd w:val="clear" w:color="auto" w:fill="F4F6F6"/>
        <w:spacing w:line="480" w:lineRule="auto"/>
        <w:ind w:firstLine="600"/>
        <w:rPr>
          <w:rFonts w:ascii="Tahoma" w:hAnsi="Tahoma" w:cs="Tahoma"/>
        </w:rPr>
      </w:pPr>
      <w:r>
        <w:rPr>
          <w:rFonts w:ascii="Tahoma" w:hAnsi="Tahoma" w:cs="Tahoma"/>
          <w:sz w:val="30"/>
          <w:szCs w:val="30"/>
        </w:rPr>
        <w:t>各考点在考试期间要设立举报信箱和举报电话。举报信箱由考点主考和省派巡视员共同管理，对举报的重大问题，要及时向省招考中心汇报。</w:t>
      </w:r>
    </w:p>
    <w:p>
      <w:pPr>
        <w:shd w:val="clear" w:color="auto" w:fill="F4F6F6"/>
        <w:spacing w:line="480" w:lineRule="auto"/>
        <w:ind w:firstLine="600"/>
        <w:rPr>
          <w:rFonts w:ascii="Tahoma" w:hAnsi="Tahoma" w:cs="Tahoma"/>
        </w:rPr>
      </w:pPr>
      <w:r>
        <w:rPr>
          <w:rFonts w:ascii="Tahoma" w:hAnsi="Tahoma" w:cs="Tahoma"/>
          <w:sz w:val="30"/>
          <w:szCs w:val="30"/>
        </w:rPr>
        <w:t>对考生及考试工作人员在考试中的各种违规行为，按照《国家教育考试违规处理办法》进行严肃处理。对因招生考试部门、考点疏于管理，造成考场秩序混乱、作弊情况严重的，对直接责任人和负有领导责任的人员，依纪依规给予处分；构成犯罪的，依法追究刑事责任。</w:t>
      </w:r>
    </w:p>
    <w:p>
      <w:pPr>
        <w:shd w:val="clear" w:color="auto" w:fill="F4F6F6"/>
        <w:spacing w:line="480" w:lineRule="auto"/>
        <w:ind w:firstLine="602"/>
        <w:rPr>
          <w:rFonts w:ascii="Tahoma" w:hAnsi="Tahoma" w:cs="Tahoma"/>
        </w:rPr>
      </w:pPr>
      <w:r>
        <w:rPr>
          <w:rStyle w:val="13"/>
          <w:rFonts w:ascii="Tahoma" w:hAnsi="Tahoma" w:cs="Tahoma"/>
          <w:sz w:val="30"/>
          <w:szCs w:val="30"/>
        </w:rPr>
        <w:t>七、专业测试</w:t>
      </w:r>
    </w:p>
    <w:p>
      <w:pPr>
        <w:shd w:val="clear" w:color="auto" w:fill="F4F6F6"/>
        <w:spacing w:line="480" w:lineRule="auto"/>
        <w:ind w:firstLine="600"/>
        <w:rPr>
          <w:rFonts w:ascii="Tahoma" w:hAnsi="Tahoma" w:cs="Tahoma"/>
        </w:rPr>
      </w:pPr>
      <w:r>
        <w:rPr>
          <w:rFonts w:ascii="Tahoma" w:hAnsi="Tahoma" w:cs="Tahoma"/>
          <w:sz w:val="30"/>
          <w:szCs w:val="30"/>
        </w:rPr>
        <w:t>体育教育、音乐学、音乐表演、舞蹈学、舞蹈编导、播音与主持艺术专业测试和英语专业口语测试由省招考中心委托有关院校组织实施，具体安排另行通知。</w:t>
      </w:r>
    </w:p>
    <w:p>
      <w:pPr>
        <w:shd w:val="clear" w:color="auto" w:fill="F4F6F6"/>
        <w:spacing w:line="480" w:lineRule="auto"/>
        <w:ind w:firstLine="602"/>
        <w:rPr>
          <w:rFonts w:ascii="Tahoma" w:hAnsi="Tahoma" w:cs="Tahoma"/>
        </w:rPr>
      </w:pPr>
      <w:r>
        <w:rPr>
          <w:rStyle w:val="13"/>
          <w:rFonts w:ascii="Tahoma" w:hAnsi="Tahoma" w:cs="Tahoma"/>
          <w:sz w:val="30"/>
          <w:szCs w:val="30"/>
        </w:rPr>
        <w:t>八、评卷、复查</w:t>
      </w:r>
    </w:p>
    <w:p>
      <w:pPr>
        <w:shd w:val="clear" w:color="auto" w:fill="F4F6F6"/>
        <w:spacing w:line="480" w:lineRule="auto"/>
        <w:ind w:firstLine="600"/>
        <w:rPr>
          <w:rFonts w:ascii="Tahoma" w:hAnsi="Tahoma" w:cs="Tahoma"/>
        </w:rPr>
      </w:pPr>
      <w:r>
        <w:rPr>
          <w:rFonts w:ascii="Tahoma" w:hAnsi="Tahoma" w:cs="Tahoma"/>
          <w:sz w:val="30"/>
          <w:szCs w:val="30"/>
        </w:rPr>
        <w:t>今年，专升本考试各科试卷全部采取网上评阅的方式。答题卡的扫描及选择题答卷的评阅工作由省招考中心组织实施；非选择题答卷的评阅工作由承担评卷工作的院校全权负责，经费包干。评卷院校必须严格执行有关评卷实施细则，做到科学、规范、公平、公正。省招考中心向评卷院校派驻质量监督组和技术支持组，对评卷工作进行监督检查和技术支持。</w:t>
      </w:r>
    </w:p>
    <w:p>
      <w:pPr>
        <w:shd w:val="clear" w:color="auto" w:fill="F4F6F6"/>
        <w:spacing w:line="480" w:lineRule="auto"/>
        <w:ind w:firstLine="600"/>
        <w:rPr>
          <w:rFonts w:ascii="Tahoma" w:hAnsi="Tahoma" w:cs="Tahoma"/>
        </w:rPr>
      </w:pPr>
      <w:r>
        <w:rPr>
          <w:rFonts w:ascii="Tahoma" w:hAnsi="Tahoma" w:cs="Tahoma"/>
          <w:sz w:val="30"/>
          <w:szCs w:val="30"/>
        </w:rPr>
        <w:t>6月26日，考生登录“山西招生考试网”查询考试成绩。若考生对本人成绩有疑义，可于6月27日至28日在原确认点申请成绩复查，复核结果由确认点负责通知考生。</w:t>
      </w:r>
    </w:p>
    <w:p>
      <w:pPr>
        <w:shd w:val="clear" w:color="auto" w:fill="F4F6F6"/>
        <w:spacing w:line="480" w:lineRule="auto"/>
        <w:ind w:firstLine="602"/>
        <w:rPr>
          <w:rFonts w:ascii="Tahoma" w:hAnsi="Tahoma" w:cs="Tahoma"/>
        </w:rPr>
      </w:pPr>
      <w:r>
        <w:rPr>
          <w:rStyle w:val="13"/>
          <w:rFonts w:ascii="Tahoma" w:hAnsi="Tahoma" w:cs="Tahoma"/>
          <w:sz w:val="30"/>
          <w:szCs w:val="30"/>
        </w:rPr>
        <w:t>九、获奖加分</w:t>
      </w:r>
    </w:p>
    <w:p>
      <w:pPr>
        <w:shd w:val="clear" w:color="auto" w:fill="F4F6F6"/>
        <w:spacing w:line="480" w:lineRule="auto"/>
        <w:ind w:firstLine="600"/>
        <w:rPr>
          <w:rFonts w:ascii="Tahoma" w:hAnsi="Tahoma" w:cs="Tahoma"/>
        </w:rPr>
      </w:pPr>
      <w:r>
        <w:rPr>
          <w:rFonts w:ascii="Tahoma" w:hAnsi="Tahoma" w:cs="Tahoma"/>
          <w:sz w:val="30"/>
          <w:szCs w:val="30"/>
        </w:rPr>
        <w:t>专科学习期间，获得下列奖励的考生，录取时实行加分政策：在“互联网+”大学生创新创业大赛获得国家三等奖和省级一等奖，可在总成绩中分别加15分、10分，在数学建模竞赛、电子设计竞赛、广告艺术大赛、职业院校技能大赛（高职组）获得国家二、三等奖和省级一等奖，可在总成绩中分别加20分、15分、10分，上述赛事学生如以团队参赛，个人须在团队中排名前五；在大学生艺术展演活动中（如为集体项目，参赛人数不超5人）获得国家二等奖和省级一等奖，可在总成绩中分别加20分、10分；在全国大学生运动会个人竞赛项目中进入前八名，可在总成绩中加20分；在全省大中学生运动会个人竞赛项目中进入前三名，可在总成绩中加10分。以上奖励项目有重复的，取最高项，不作累加。审查合格的加分考生名单，将在“山西招生考试网”进行公示，未经公示的考生不得加分。</w:t>
      </w:r>
    </w:p>
    <w:p>
      <w:pPr>
        <w:shd w:val="clear" w:color="auto" w:fill="F4F6F6"/>
        <w:spacing w:line="480" w:lineRule="auto"/>
        <w:ind w:firstLine="602"/>
        <w:rPr>
          <w:rFonts w:ascii="Tahoma" w:hAnsi="Tahoma" w:cs="Tahoma"/>
        </w:rPr>
      </w:pPr>
      <w:r>
        <w:rPr>
          <w:rStyle w:val="13"/>
          <w:rFonts w:ascii="Tahoma" w:hAnsi="Tahoma" w:cs="Tahoma"/>
          <w:sz w:val="30"/>
          <w:szCs w:val="30"/>
        </w:rPr>
        <w:t>十、志愿填报</w:t>
      </w:r>
    </w:p>
    <w:p>
      <w:pPr>
        <w:shd w:val="clear" w:color="auto" w:fill="F4F6F6"/>
        <w:spacing w:line="480" w:lineRule="auto"/>
        <w:ind w:firstLine="640"/>
        <w:rPr>
          <w:rFonts w:ascii="Tahoma" w:hAnsi="Tahoma" w:cs="Tahoma"/>
        </w:rPr>
      </w:pPr>
      <w:r>
        <w:rPr>
          <w:rFonts w:ascii="Tahoma" w:hAnsi="Tahoma" w:cs="Tahoma"/>
          <w:sz w:val="32"/>
          <w:szCs w:val="32"/>
        </w:rPr>
        <w:t>2019</w:t>
      </w:r>
      <w:r>
        <w:rPr>
          <w:rFonts w:ascii="Tahoma" w:hAnsi="Tahoma" w:cs="Tahoma"/>
          <w:sz w:val="30"/>
          <w:szCs w:val="30"/>
        </w:rPr>
        <w:t>年考生网上填报志愿在考试成绩公布后进行。志愿分普通本科院校和独立学院、民办院校两批，每批分别设五个平行志愿。考生可在7月初登录“山西招生考试网”，按照公布的招生计划填报志愿。</w:t>
      </w:r>
    </w:p>
    <w:p>
      <w:pPr>
        <w:shd w:val="clear" w:color="auto" w:fill="F4F6F6"/>
        <w:spacing w:line="480" w:lineRule="auto"/>
        <w:ind w:firstLine="600"/>
        <w:rPr>
          <w:rFonts w:ascii="Tahoma" w:hAnsi="Tahoma" w:cs="Tahoma"/>
        </w:rPr>
      </w:pPr>
      <w:r>
        <w:rPr>
          <w:rFonts w:ascii="Tahoma" w:hAnsi="Tahoma" w:cs="Tahoma"/>
          <w:sz w:val="30"/>
          <w:szCs w:val="30"/>
        </w:rPr>
        <w:t>填报志愿期间，考生可查看、修改自己的志愿信息，填报志愿结束后，不能再修改。</w:t>
      </w:r>
    </w:p>
    <w:p>
      <w:pPr>
        <w:shd w:val="clear" w:color="auto" w:fill="F4F6F6"/>
        <w:spacing w:line="480" w:lineRule="auto"/>
        <w:ind w:firstLine="600"/>
        <w:rPr>
          <w:rFonts w:ascii="Tahoma" w:hAnsi="Tahoma" w:cs="Tahoma"/>
        </w:rPr>
      </w:pPr>
      <w:r>
        <w:rPr>
          <w:rFonts w:ascii="Tahoma" w:hAnsi="Tahoma" w:cs="Tahoma"/>
          <w:sz w:val="30"/>
          <w:szCs w:val="30"/>
        </w:rPr>
        <w:t>为了严格执行国家相关规定，切实维护招生正常秩序，考生必须慎重填报志愿，招生部门按考生志愿投档后，考生不得申请退档，不得转录到其它院校，否则即视为考生放弃被录取资格。</w:t>
      </w:r>
    </w:p>
    <w:p>
      <w:pPr>
        <w:shd w:val="clear" w:color="auto" w:fill="F4F6F6"/>
        <w:spacing w:line="480" w:lineRule="auto"/>
        <w:ind w:firstLine="602"/>
        <w:rPr>
          <w:rFonts w:ascii="Tahoma" w:hAnsi="Tahoma" w:cs="Tahoma"/>
        </w:rPr>
      </w:pPr>
      <w:r>
        <w:rPr>
          <w:rStyle w:val="13"/>
          <w:rFonts w:ascii="Tahoma" w:hAnsi="Tahoma" w:cs="Tahoma"/>
          <w:sz w:val="30"/>
          <w:szCs w:val="30"/>
        </w:rPr>
        <w:t>十一、录取</w:t>
      </w:r>
    </w:p>
    <w:p>
      <w:pPr>
        <w:shd w:val="clear" w:color="auto" w:fill="F4F6F6"/>
        <w:spacing w:line="480" w:lineRule="auto"/>
        <w:ind w:firstLine="600"/>
        <w:rPr>
          <w:rFonts w:ascii="Tahoma" w:hAnsi="Tahoma" w:cs="Tahoma"/>
        </w:rPr>
      </w:pPr>
      <w:r>
        <w:rPr>
          <w:rFonts w:ascii="Tahoma" w:hAnsi="Tahoma" w:cs="Tahoma"/>
          <w:sz w:val="30"/>
          <w:szCs w:val="30"/>
        </w:rPr>
        <w:t>专升本的录取工作由省教育厅和省招考中心共同组织实施，坚持公开、公平、公正、择优录取的原则，实行“学校负责，招办监督”的管理体制。</w:t>
      </w:r>
    </w:p>
    <w:p>
      <w:pPr>
        <w:shd w:val="clear" w:color="auto" w:fill="F4F6F6"/>
        <w:spacing w:line="480" w:lineRule="auto"/>
        <w:ind w:firstLine="600"/>
        <w:rPr>
          <w:rFonts w:ascii="Tahoma" w:hAnsi="Tahoma" w:cs="Tahoma"/>
        </w:rPr>
      </w:pPr>
      <w:r>
        <w:rPr>
          <w:rFonts w:ascii="Tahoma" w:hAnsi="Tahoma" w:cs="Tahoma"/>
          <w:sz w:val="30"/>
          <w:szCs w:val="30"/>
        </w:rPr>
        <w:t>专升本录取分两批进行，每一批都实行平行志愿的投档录取模式。各专业分别按与计划招生数1</w:t>
      </w:r>
      <w:r>
        <w:rPr>
          <w:rFonts w:hint="eastAsia"/>
          <w:sz w:val="30"/>
          <w:szCs w:val="30"/>
        </w:rPr>
        <w:t>∶</w:t>
      </w:r>
      <w:r>
        <w:rPr>
          <w:rFonts w:ascii="Tahoma" w:hAnsi="Tahoma" w:cs="Tahoma"/>
          <w:sz w:val="30"/>
          <w:szCs w:val="30"/>
        </w:rPr>
        <w:t>1的比例划线，录取时在各专业最低控制线上，根据考生录取总成绩和志愿，从高到低投档，由院校择优录取。考生录取总成绩相同的，依次比较单科成绩，比较顺序为科目一、科目二、科目三，单科成绩高的优先投档录取。</w:t>
      </w:r>
    </w:p>
    <w:p>
      <w:pPr>
        <w:shd w:val="clear" w:color="auto" w:fill="F4F6F6"/>
        <w:spacing w:line="480" w:lineRule="auto"/>
        <w:ind w:firstLine="600"/>
        <w:rPr>
          <w:rFonts w:ascii="Tahoma" w:hAnsi="Tahoma" w:cs="Tahoma"/>
        </w:rPr>
      </w:pPr>
      <w:r>
        <w:rPr>
          <w:rFonts w:ascii="Tahoma" w:hAnsi="Tahoma" w:cs="Tahoma"/>
          <w:sz w:val="30"/>
          <w:szCs w:val="30"/>
        </w:rPr>
        <w:t>英语专业口语测试合格的考生，根据考生录取总成绩和志愿投档，由院校择优录取。投档办法同上。</w:t>
      </w:r>
    </w:p>
    <w:p>
      <w:pPr>
        <w:shd w:val="clear" w:color="auto" w:fill="F4F6F6"/>
        <w:spacing w:line="480" w:lineRule="auto"/>
        <w:ind w:firstLine="600"/>
        <w:rPr>
          <w:rFonts w:ascii="Tahoma" w:hAnsi="Tahoma" w:cs="Tahoma"/>
        </w:rPr>
      </w:pPr>
      <w:r>
        <w:rPr>
          <w:rFonts w:ascii="Tahoma" w:hAnsi="Tahoma" w:cs="Tahoma"/>
          <w:sz w:val="30"/>
          <w:szCs w:val="30"/>
        </w:rPr>
        <w:t>体育教育、音乐学、音乐表演、舞蹈学、舞蹈编导、播音与主持艺术专业在划定的文化课录取最低控制线上，根据考生专业测试成绩和志愿从高到低投档，由院校择优录取；专业测试成绩相同的，比较文化课总成绩和单科成绩，比较顺序依次为文化课总成绩、科目一、科目二、科目三。</w:t>
      </w:r>
    </w:p>
    <w:p>
      <w:pPr>
        <w:shd w:val="clear" w:color="auto" w:fill="F4F6F6"/>
        <w:spacing w:line="480" w:lineRule="auto"/>
        <w:ind w:firstLine="600"/>
        <w:rPr>
          <w:rFonts w:ascii="Tahoma" w:hAnsi="Tahoma" w:cs="Tahoma"/>
        </w:rPr>
      </w:pPr>
      <w:r>
        <w:rPr>
          <w:rFonts w:ascii="Tahoma" w:hAnsi="Tahoma" w:cs="Tahoma"/>
          <w:sz w:val="30"/>
          <w:szCs w:val="30"/>
        </w:rPr>
        <w:t>普通高职高专毕业生服义务兵役退役人员和高职高专学生服义务兵役退役复学人员，统一考试、招生计划单列、单独划线录取。</w:t>
      </w:r>
    </w:p>
    <w:p>
      <w:pPr>
        <w:shd w:val="clear" w:color="auto" w:fill="F4F6F6"/>
        <w:spacing w:line="480" w:lineRule="auto"/>
        <w:ind w:firstLine="600"/>
        <w:rPr>
          <w:rFonts w:ascii="Tahoma" w:hAnsi="Tahoma" w:cs="Tahoma"/>
        </w:rPr>
      </w:pPr>
      <w:r>
        <w:rPr>
          <w:rFonts w:ascii="Tahoma" w:hAnsi="Tahoma" w:cs="Tahoma"/>
          <w:sz w:val="30"/>
          <w:szCs w:val="30"/>
        </w:rPr>
        <w:t>“专升本”免试生根据考生填报的第一志愿办理录取手续，招生计划单列，工作程序按省教育厅有关规定执行。</w:t>
      </w:r>
    </w:p>
    <w:p>
      <w:pPr>
        <w:shd w:val="clear" w:color="auto" w:fill="F4F6F6"/>
        <w:spacing w:line="480" w:lineRule="auto"/>
        <w:ind w:firstLine="600"/>
        <w:rPr>
          <w:rFonts w:ascii="Tahoma" w:hAnsi="Tahoma" w:cs="Tahoma"/>
        </w:rPr>
      </w:pPr>
      <w:r>
        <w:rPr>
          <w:rFonts w:ascii="Tahoma" w:hAnsi="Tahoma" w:cs="Tahoma"/>
          <w:sz w:val="30"/>
          <w:szCs w:val="30"/>
        </w:rPr>
        <w:t>录取结束后，省招考中心统一打印录取花名册，加盖“山西省高等学校招生委员会专升本录取专用章”。招生院校根据录取花名册签发录取通知书，并按有关程序下载、打印考生电子档案，加盖招生院校印章。被录取的考生，未经院校同意逾期不报到，视为自动放弃录取资格。</w:t>
      </w:r>
    </w:p>
    <w:p>
      <w:pPr>
        <w:shd w:val="clear" w:color="auto" w:fill="F4F6F6"/>
        <w:spacing w:line="480" w:lineRule="auto"/>
        <w:ind w:firstLine="600"/>
        <w:rPr>
          <w:rFonts w:ascii="Tahoma" w:hAnsi="Tahoma" w:cs="Tahoma"/>
        </w:rPr>
      </w:pPr>
      <w:r>
        <w:rPr>
          <w:rFonts w:ascii="Tahoma" w:hAnsi="Tahoma" w:cs="Tahoma"/>
          <w:sz w:val="30"/>
          <w:szCs w:val="30"/>
        </w:rPr>
        <w:t>新生入学后，各招生院校要加强对新生入学资格的审查工作，发现不合格和违纪舞弊的学生，要按有关规定及时进行处理并报省招考中心。</w:t>
      </w:r>
    </w:p>
    <w:p>
      <w:pPr>
        <w:shd w:val="clear" w:color="auto" w:fill="F4F6F6"/>
        <w:spacing w:line="480" w:lineRule="auto"/>
        <w:ind w:firstLine="602"/>
        <w:rPr>
          <w:rFonts w:ascii="Tahoma" w:hAnsi="Tahoma" w:cs="Tahoma"/>
        </w:rPr>
      </w:pPr>
      <w:r>
        <w:rPr>
          <w:rStyle w:val="13"/>
          <w:rFonts w:ascii="Tahoma" w:hAnsi="Tahoma" w:cs="Tahoma"/>
          <w:sz w:val="30"/>
          <w:szCs w:val="30"/>
        </w:rPr>
        <w:t>十二、加强领导</w:t>
      </w:r>
    </w:p>
    <w:p>
      <w:pPr>
        <w:shd w:val="clear" w:color="auto" w:fill="F4F6F6"/>
        <w:spacing w:line="480" w:lineRule="auto"/>
        <w:ind w:firstLine="640"/>
        <w:rPr>
          <w:rFonts w:ascii="Tahoma" w:hAnsi="Tahoma" w:cs="Tahoma"/>
        </w:rPr>
      </w:pPr>
      <w:r>
        <w:rPr>
          <w:rFonts w:ascii="Tahoma" w:hAnsi="Tahoma" w:cs="Tahoma"/>
          <w:sz w:val="32"/>
          <w:szCs w:val="32"/>
        </w:rPr>
        <w:t>各市招生考试部门和有关院校，要以办好人民满意的招生考试为目标，高度重视专升本选拔考试工作，按照“谁主管，谁负责”的原则，加强组织领导，规范管理，严明纪律，依法治考，从严治招，强化监督检查，严格报名资格审查，认真做好安全保密工作，严肃考风考纪，加大招生宣传和服务力度，深入推进“阳光工程”，为广大考生创造一个公开、公平、公正的招生考试环境，确保我省2019年专升本选拔考试各项工作安全、顺利进行。</w:t>
      </w:r>
    </w:p>
    <w:p>
      <w:pPr>
        <w:shd w:val="clear" w:color="auto" w:fill="F4F6F6"/>
        <w:spacing w:line="480" w:lineRule="auto"/>
        <w:ind w:firstLine="600"/>
        <w:rPr>
          <w:rFonts w:ascii="Tahoma" w:hAnsi="Tahoma" w:cs="Tahoma"/>
        </w:rPr>
      </w:pPr>
      <w:r>
        <w:rPr>
          <w:rFonts w:ascii="Tahoma" w:hAnsi="Tahoma" w:cs="Tahoma"/>
        </w:rPr>
        <w:t> </w:t>
      </w:r>
    </w:p>
    <w:p>
      <w:pPr>
        <w:shd w:val="clear" w:color="auto" w:fill="F4F6F6"/>
        <w:spacing w:line="480" w:lineRule="auto"/>
        <w:ind w:firstLine="420"/>
        <w:rPr>
          <w:rFonts w:ascii="Tahoma" w:hAnsi="Tahoma" w:cs="Tahoma"/>
        </w:rPr>
      </w:pPr>
      <w:r>
        <w:rPr>
          <w:rFonts w:ascii="Tahoma" w:hAnsi="Tahoma" w:cs="Tahoma"/>
        </w:rPr>
        <w:t> </w:t>
      </w:r>
    </w:p>
    <w:p>
      <w:pPr>
        <w:shd w:val="clear" w:color="auto" w:fill="F4F6F6"/>
        <w:spacing w:line="480" w:lineRule="auto"/>
        <w:rPr>
          <w:rFonts w:ascii="Tahoma" w:hAnsi="Tahoma" w:cs="Tahoma"/>
        </w:rPr>
      </w:pPr>
      <w:r>
        <w:rPr>
          <w:rFonts w:ascii="Tahoma" w:hAnsi="Tahoma" w:cs="Tahoma"/>
        </w:rPr>
        <w:t>附件1</w:t>
      </w:r>
    </w:p>
    <w:p>
      <w:pPr>
        <w:shd w:val="clear" w:color="auto" w:fill="F4F6F6"/>
        <w:spacing w:line="480" w:lineRule="auto"/>
        <w:jc w:val="center"/>
        <w:textAlignment w:val="center"/>
        <w:rPr>
          <w:rFonts w:ascii="Tahoma" w:hAnsi="Tahoma" w:cs="Tahoma"/>
        </w:rPr>
      </w:pPr>
      <w:r>
        <w:rPr>
          <w:rStyle w:val="13"/>
          <w:rFonts w:ascii="Tahoma" w:hAnsi="Tahoma" w:cs="Tahoma"/>
        </w:rPr>
        <w:t>市 代 码</w:t>
      </w:r>
    </w:p>
    <w:tbl>
      <w:tblPr>
        <w:tblStyle w:val="11"/>
        <w:tblW w:w="8336" w:type="dxa"/>
        <w:jc w:val="center"/>
        <w:tblInd w:w="0" w:type="dxa"/>
        <w:tblLayout w:type="fixed"/>
        <w:tblCellMar>
          <w:top w:w="0" w:type="dxa"/>
          <w:left w:w="0" w:type="dxa"/>
          <w:bottom w:w="0" w:type="dxa"/>
          <w:right w:w="0" w:type="dxa"/>
        </w:tblCellMar>
      </w:tblPr>
      <w:tblGrid>
        <w:gridCol w:w="1390"/>
        <w:gridCol w:w="1389"/>
        <w:gridCol w:w="1390"/>
        <w:gridCol w:w="1388"/>
        <w:gridCol w:w="1391"/>
        <w:gridCol w:w="1388"/>
      </w:tblGrid>
      <w:tr>
        <w:tblPrEx>
          <w:tblLayout w:type="fixed"/>
          <w:tblCellMar>
            <w:top w:w="0" w:type="dxa"/>
            <w:left w:w="0" w:type="dxa"/>
            <w:bottom w:w="0" w:type="dxa"/>
            <w:right w:w="0" w:type="dxa"/>
          </w:tblCellMar>
        </w:tblPrEx>
        <w:trPr>
          <w:jc w:val="center"/>
        </w:trPr>
        <w:tc>
          <w:tcPr>
            <w:tcW w:w="1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编号</w:t>
            </w:r>
          </w:p>
        </w:tc>
        <w:tc>
          <w:tcPr>
            <w:tcW w:w="1389"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市</w:t>
            </w:r>
          </w:p>
        </w:tc>
        <w:tc>
          <w:tcPr>
            <w:tcW w:w="1390"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编号</w:t>
            </w:r>
          </w:p>
        </w:tc>
        <w:tc>
          <w:tcPr>
            <w:tcW w:w="138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市</w:t>
            </w:r>
          </w:p>
        </w:tc>
        <w:tc>
          <w:tcPr>
            <w:tcW w:w="1391"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编号</w:t>
            </w:r>
          </w:p>
        </w:tc>
        <w:tc>
          <w:tcPr>
            <w:tcW w:w="138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市</w:t>
            </w:r>
          </w:p>
        </w:tc>
      </w:tr>
      <w:tr>
        <w:tblPrEx>
          <w:tblLayout w:type="fixed"/>
          <w:tblCellMar>
            <w:top w:w="0" w:type="dxa"/>
            <w:left w:w="0" w:type="dxa"/>
            <w:bottom w:w="0" w:type="dxa"/>
            <w:right w:w="0" w:type="dxa"/>
          </w:tblCellMar>
        </w:tblPrEx>
        <w:trPr>
          <w:jc w:val="center"/>
        </w:trPr>
        <w:tc>
          <w:tcPr>
            <w:tcW w:w="1390"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51</w:t>
            </w:r>
          </w:p>
        </w:tc>
        <w:tc>
          <w:tcPr>
            <w:tcW w:w="138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太原</w:t>
            </w:r>
          </w:p>
        </w:tc>
        <w:tc>
          <w:tcPr>
            <w:tcW w:w="13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138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大同</w:t>
            </w:r>
          </w:p>
        </w:tc>
        <w:tc>
          <w:tcPr>
            <w:tcW w:w="139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53</w:t>
            </w:r>
          </w:p>
        </w:tc>
        <w:tc>
          <w:tcPr>
            <w:tcW w:w="138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阳泉</w:t>
            </w:r>
          </w:p>
        </w:tc>
      </w:tr>
      <w:tr>
        <w:tblPrEx>
          <w:tblLayout w:type="fixed"/>
          <w:tblCellMar>
            <w:top w:w="0" w:type="dxa"/>
            <w:left w:w="0" w:type="dxa"/>
            <w:bottom w:w="0" w:type="dxa"/>
            <w:right w:w="0" w:type="dxa"/>
          </w:tblCellMar>
        </w:tblPrEx>
        <w:trPr>
          <w:jc w:val="center"/>
        </w:trPr>
        <w:tc>
          <w:tcPr>
            <w:tcW w:w="1390"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54</w:t>
            </w:r>
          </w:p>
        </w:tc>
        <w:tc>
          <w:tcPr>
            <w:tcW w:w="138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长治</w:t>
            </w:r>
          </w:p>
        </w:tc>
        <w:tc>
          <w:tcPr>
            <w:tcW w:w="13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55</w:t>
            </w:r>
          </w:p>
        </w:tc>
        <w:tc>
          <w:tcPr>
            <w:tcW w:w="138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晋城</w:t>
            </w:r>
          </w:p>
        </w:tc>
        <w:tc>
          <w:tcPr>
            <w:tcW w:w="139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56</w:t>
            </w:r>
          </w:p>
        </w:tc>
        <w:tc>
          <w:tcPr>
            <w:tcW w:w="138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朔州</w:t>
            </w:r>
          </w:p>
        </w:tc>
      </w:tr>
      <w:tr>
        <w:tblPrEx>
          <w:tblLayout w:type="fixed"/>
          <w:tblCellMar>
            <w:top w:w="0" w:type="dxa"/>
            <w:left w:w="0" w:type="dxa"/>
            <w:bottom w:w="0" w:type="dxa"/>
            <w:right w:w="0" w:type="dxa"/>
          </w:tblCellMar>
        </w:tblPrEx>
        <w:trPr>
          <w:jc w:val="center"/>
        </w:trPr>
        <w:tc>
          <w:tcPr>
            <w:tcW w:w="1390"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57</w:t>
            </w:r>
          </w:p>
        </w:tc>
        <w:tc>
          <w:tcPr>
            <w:tcW w:w="138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晋中</w:t>
            </w:r>
          </w:p>
        </w:tc>
        <w:tc>
          <w:tcPr>
            <w:tcW w:w="13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58</w:t>
            </w:r>
          </w:p>
        </w:tc>
        <w:tc>
          <w:tcPr>
            <w:tcW w:w="138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运城</w:t>
            </w:r>
          </w:p>
        </w:tc>
        <w:tc>
          <w:tcPr>
            <w:tcW w:w="139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59</w:t>
            </w:r>
          </w:p>
        </w:tc>
        <w:tc>
          <w:tcPr>
            <w:tcW w:w="138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忻州</w:t>
            </w:r>
          </w:p>
        </w:tc>
      </w:tr>
      <w:tr>
        <w:tblPrEx>
          <w:tblLayout w:type="fixed"/>
          <w:tblCellMar>
            <w:top w:w="0" w:type="dxa"/>
            <w:left w:w="0" w:type="dxa"/>
            <w:bottom w:w="0" w:type="dxa"/>
            <w:right w:w="0" w:type="dxa"/>
          </w:tblCellMar>
        </w:tblPrEx>
        <w:trPr>
          <w:jc w:val="center"/>
        </w:trPr>
        <w:tc>
          <w:tcPr>
            <w:tcW w:w="1390"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60</w:t>
            </w:r>
          </w:p>
        </w:tc>
        <w:tc>
          <w:tcPr>
            <w:tcW w:w="138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临汾</w:t>
            </w:r>
          </w:p>
        </w:tc>
        <w:tc>
          <w:tcPr>
            <w:tcW w:w="13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61</w:t>
            </w:r>
          </w:p>
        </w:tc>
        <w:tc>
          <w:tcPr>
            <w:tcW w:w="138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吕梁</w:t>
            </w:r>
          </w:p>
        </w:tc>
        <w:tc>
          <w:tcPr>
            <w:tcW w:w="139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c>
          <w:tcPr>
            <w:tcW w:w="138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bl>
    <w:p>
      <w:pPr>
        <w:shd w:val="clear" w:color="auto" w:fill="F4F6F6"/>
        <w:spacing w:line="480" w:lineRule="auto"/>
        <w:rPr>
          <w:rFonts w:ascii="Tahoma" w:hAnsi="Tahoma" w:cs="Tahoma"/>
        </w:rPr>
      </w:pPr>
      <w:r>
        <w:rPr>
          <w:rFonts w:ascii="Tahoma" w:hAnsi="Tahoma" w:cs="Tahoma"/>
        </w:rPr>
        <w:t> </w:t>
      </w:r>
    </w:p>
    <w:p>
      <w:pPr>
        <w:shd w:val="clear" w:color="auto" w:fill="F4F6F6"/>
        <w:spacing w:line="480" w:lineRule="auto"/>
        <w:rPr>
          <w:rFonts w:ascii="Tahoma" w:hAnsi="Tahoma" w:cs="Tahoma"/>
        </w:rPr>
      </w:pPr>
      <w:r>
        <w:rPr>
          <w:rFonts w:ascii="Tahoma" w:hAnsi="Tahoma" w:cs="Tahoma"/>
        </w:rPr>
        <w:t> </w:t>
      </w:r>
    </w:p>
    <w:p>
      <w:pPr>
        <w:shd w:val="clear" w:color="auto" w:fill="F4F6F6"/>
        <w:spacing w:line="480" w:lineRule="auto"/>
        <w:textAlignment w:val="center"/>
        <w:rPr>
          <w:rFonts w:ascii="Tahoma" w:hAnsi="Tahoma" w:cs="Tahoma"/>
        </w:rPr>
      </w:pPr>
      <w:r>
        <w:rPr>
          <w:rFonts w:ascii="Tahoma" w:hAnsi="Tahoma" w:cs="Tahoma"/>
        </w:rPr>
        <w:t>附件2</w:t>
      </w:r>
    </w:p>
    <w:p>
      <w:pPr>
        <w:shd w:val="clear" w:color="auto" w:fill="F4F6F6"/>
        <w:spacing w:line="480" w:lineRule="auto"/>
        <w:jc w:val="center"/>
        <w:textAlignment w:val="center"/>
        <w:rPr>
          <w:rFonts w:ascii="Tahoma" w:hAnsi="Tahoma" w:cs="Tahoma"/>
        </w:rPr>
      </w:pPr>
      <w:r>
        <w:rPr>
          <w:rStyle w:val="13"/>
          <w:rFonts w:ascii="Tahoma" w:hAnsi="Tahoma" w:cs="Tahoma"/>
        </w:rPr>
        <w:t>2019年山西省普通高校专升本招生专业及考试科目、时间</w:t>
      </w:r>
    </w:p>
    <w:tbl>
      <w:tblPr>
        <w:tblStyle w:val="11"/>
        <w:tblW w:w="14130" w:type="dxa"/>
        <w:jc w:val="center"/>
        <w:tblInd w:w="0" w:type="dxa"/>
        <w:tblLayout w:type="fixed"/>
        <w:tblCellMar>
          <w:top w:w="0" w:type="dxa"/>
          <w:left w:w="0" w:type="dxa"/>
          <w:bottom w:w="0" w:type="dxa"/>
          <w:right w:w="0" w:type="dxa"/>
        </w:tblCellMar>
      </w:tblPr>
      <w:tblGrid>
        <w:gridCol w:w="832"/>
        <w:gridCol w:w="3029"/>
        <w:gridCol w:w="1009"/>
        <w:gridCol w:w="3912"/>
        <w:gridCol w:w="1561"/>
        <w:gridCol w:w="2525"/>
        <w:gridCol w:w="1262"/>
      </w:tblGrid>
      <w:tr>
        <w:tblPrEx>
          <w:tblLayout w:type="fixed"/>
          <w:tblCellMar>
            <w:top w:w="0" w:type="dxa"/>
            <w:left w:w="0" w:type="dxa"/>
            <w:bottom w:w="0" w:type="dxa"/>
            <w:right w:w="0" w:type="dxa"/>
          </w:tblCellMar>
        </w:tblPrEx>
        <w:trPr>
          <w:jc w:val="center"/>
        </w:trPr>
        <w:tc>
          <w:tcPr>
            <w:tcW w:w="83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招生</w:t>
            </w:r>
          </w:p>
          <w:p>
            <w:pPr>
              <w:spacing w:line="480" w:lineRule="auto"/>
              <w:jc w:val="center"/>
              <w:textAlignment w:val="center"/>
              <w:rPr>
                <w:rFonts w:ascii="Tahoma" w:hAnsi="Tahoma" w:cs="Tahoma"/>
              </w:rPr>
            </w:pPr>
            <w:r>
              <w:rPr>
                <w:rStyle w:val="13"/>
                <w:rFonts w:ascii="Tahoma" w:hAnsi="Tahoma" w:cs="Tahoma"/>
              </w:rPr>
              <w:t>专业</w:t>
            </w:r>
          </w:p>
          <w:p>
            <w:pPr>
              <w:spacing w:line="480" w:lineRule="auto"/>
              <w:jc w:val="center"/>
              <w:textAlignment w:val="center"/>
              <w:rPr>
                <w:rFonts w:ascii="Tahoma" w:hAnsi="Tahoma" w:cs="Tahoma"/>
              </w:rPr>
            </w:pPr>
            <w:r>
              <w:rPr>
                <w:rStyle w:val="13"/>
                <w:rFonts w:ascii="Tahoma" w:hAnsi="Tahoma" w:cs="Tahoma"/>
              </w:rPr>
              <w:t>编号</w:t>
            </w:r>
          </w:p>
        </w:tc>
        <w:tc>
          <w:tcPr>
            <w:tcW w:w="3029"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招生专业</w:t>
            </w:r>
          </w:p>
          <w:p>
            <w:pPr>
              <w:spacing w:line="480" w:lineRule="auto"/>
              <w:jc w:val="center"/>
              <w:textAlignment w:val="center"/>
              <w:rPr>
                <w:rFonts w:ascii="Tahoma" w:hAnsi="Tahoma" w:cs="Tahoma"/>
              </w:rPr>
            </w:pPr>
            <w:r>
              <w:rPr>
                <w:rStyle w:val="13"/>
                <w:rFonts w:ascii="Tahoma" w:hAnsi="Tahoma" w:cs="Tahoma"/>
              </w:rPr>
              <w:t>名 称</w:t>
            </w:r>
          </w:p>
        </w:tc>
        <w:tc>
          <w:tcPr>
            <w:tcW w:w="1009"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类别</w:t>
            </w:r>
          </w:p>
        </w:tc>
        <w:tc>
          <w:tcPr>
            <w:tcW w:w="7998" w:type="dxa"/>
            <w:gridSpan w:val="3"/>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考试科目及时间</w:t>
            </w:r>
          </w:p>
        </w:tc>
        <w:tc>
          <w:tcPr>
            <w:tcW w:w="1262"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备注</w:t>
            </w:r>
          </w:p>
        </w:tc>
      </w:tr>
      <w:tr>
        <w:tblPrEx>
          <w:tblLayout w:type="fixed"/>
          <w:tblCellMar>
            <w:top w:w="0" w:type="dxa"/>
            <w:left w:w="0" w:type="dxa"/>
            <w:bottom w:w="0" w:type="dxa"/>
            <w:right w:w="0" w:type="dxa"/>
          </w:tblCellMar>
        </w:tblPrEx>
        <w:trPr>
          <w:jc w:val="center"/>
        </w:trPr>
        <w:tc>
          <w:tcPr>
            <w:tcW w:w="832" w:type="dxa"/>
            <w:vMerge w:val="continue"/>
            <w:tcBorders>
              <w:top w:val="single" w:color="000000" w:sz="8" w:space="0"/>
              <w:left w:val="single" w:color="000000" w:sz="8" w:space="0"/>
              <w:bottom w:val="single" w:color="000000" w:sz="8" w:space="0"/>
              <w:right w:val="single" w:color="000000" w:sz="8" w:space="0"/>
            </w:tcBorders>
            <w:vAlign w:val="center"/>
          </w:tcPr>
          <w:p>
            <w:pPr>
              <w:rPr>
                <w:rFonts w:ascii="Tahoma" w:hAnsi="Tahoma" w:cs="Tahoma"/>
              </w:rPr>
            </w:pPr>
          </w:p>
        </w:tc>
        <w:tc>
          <w:tcPr>
            <w:tcW w:w="3029"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c>
          <w:tcPr>
            <w:tcW w:w="1009"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c>
          <w:tcPr>
            <w:tcW w:w="7998"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6月9日</w:t>
            </w:r>
          </w:p>
        </w:tc>
        <w:tc>
          <w:tcPr>
            <w:tcW w:w="1262"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r>
      <w:tr>
        <w:tblPrEx>
          <w:tblLayout w:type="fixed"/>
          <w:tblCellMar>
            <w:top w:w="0" w:type="dxa"/>
            <w:left w:w="0" w:type="dxa"/>
            <w:bottom w:w="0" w:type="dxa"/>
            <w:right w:w="0" w:type="dxa"/>
          </w:tblCellMar>
        </w:tblPrEx>
        <w:trPr>
          <w:jc w:val="center"/>
        </w:trPr>
        <w:tc>
          <w:tcPr>
            <w:tcW w:w="832" w:type="dxa"/>
            <w:vMerge w:val="continue"/>
            <w:tcBorders>
              <w:top w:val="single" w:color="000000" w:sz="8" w:space="0"/>
              <w:left w:val="single" w:color="000000" w:sz="8" w:space="0"/>
              <w:bottom w:val="single" w:color="000000" w:sz="8" w:space="0"/>
              <w:right w:val="single" w:color="000000" w:sz="8" w:space="0"/>
            </w:tcBorders>
            <w:vAlign w:val="center"/>
          </w:tcPr>
          <w:p>
            <w:pPr>
              <w:rPr>
                <w:rFonts w:ascii="Tahoma" w:hAnsi="Tahoma" w:cs="Tahoma"/>
              </w:rPr>
            </w:pPr>
          </w:p>
        </w:tc>
        <w:tc>
          <w:tcPr>
            <w:tcW w:w="3029"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c>
          <w:tcPr>
            <w:tcW w:w="1009"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上午</w:t>
            </w:r>
          </w:p>
        </w:tc>
        <w:tc>
          <w:tcPr>
            <w:tcW w:w="4086"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下午</w:t>
            </w:r>
          </w:p>
        </w:tc>
        <w:tc>
          <w:tcPr>
            <w:tcW w:w="1262"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r>
      <w:tr>
        <w:tblPrEx>
          <w:tblLayout w:type="fixed"/>
          <w:tblCellMar>
            <w:top w:w="0" w:type="dxa"/>
            <w:left w:w="0" w:type="dxa"/>
            <w:bottom w:w="0" w:type="dxa"/>
            <w:right w:w="0" w:type="dxa"/>
          </w:tblCellMar>
        </w:tblPrEx>
        <w:trPr>
          <w:jc w:val="center"/>
        </w:trPr>
        <w:tc>
          <w:tcPr>
            <w:tcW w:w="832" w:type="dxa"/>
            <w:vMerge w:val="continue"/>
            <w:tcBorders>
              <w:top w:val="single" w:color="000000" w:sz="8" w:space="0"/>
              <w:left w:val="single" w:color="000000" w:sz="8" w:space="0"/>
              <w:bottom w:val="single" w:color="000000" w:sz="8" w:space="0"/>
              <w:right w:val="single" w:color="000000" w:sz="8" w:space="0"/>
            </w:tcBorders>
            <w:vAlign w:val="center"/>
          </w:tcPr>
          <w:p>
            <w:pPr>
              <w:rPr>
                <w:rFonts w:ascii="Tahoma" w:hAnsi="Tahoma" w:cs="Tahoma"/>
              </w:rPr>
            </w:pPr>
          </w:p>
        </w:tc>
        <w:tc>
          <w:tcPr>
            <w:tcW w:w="3029"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c>
          <w:tcPr>
            <w:tcW w:w="1009"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8:30-11:00</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2:00-4:00</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5:00-7:00</w:t>
            </w:r>
          </w:p>
        </w:tc>
        <w:tc>
          <w:tcPr>
            <w:tcW w:w="1262"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Style w:val="13"/>
                <w:rFonts w:ascii="Tahoma" w:hAnsi="Tahoma" w:cs="Tahoma"/>
              </w:rPr>
              <w:t> </w:t>
            </w:r>
          </w:p>
        </w:tc>
      </w:tr>
      <w:tr>
        <w:tblPrEx>
          <w:tblLayout w:type="fixed"/>
          <w:tblCellMar>
            <w:top w:w="0" w:type="dxa"/>
            <w:left w:w="0" w:type="dxa"/>
            <w:bottom w:w="0" w:type="dxa"/>
            <w:right w:w="0" w:type="dxa"/>
          </w:tblCellMar>
        </w:tblPrEx>
        <w:trPr>
          <w:jc w:val="center"/>
        </w:trPr>
        <w:tc>
          <w:tcPr>
            <w:tcW w:w="832" w:type="dxa"/>
            <w:vMerge w:val="continue"/>
            <w:tcBorders>
              <w:top w:val="single" w:color="000000" w:sz="8" w:space="0"/>
              <w:left w:val="single" w:color="000000" w:sz="8" w:space="0"/>
              <w:bottom w:val="single" w:color="000000" w:sz="8" w:space="0"/>
              <w:right w:val="single" w:color="000000" w:sz="8" w:space="0"/>
            </w:tcBorders>
            <w:vAlign w:val="center"/>
          </w:tcPr>
          <w:p>
            <w:pPr>
              <w:rPr>
                <w:rFonts w:ascii="Tahoma" w:hAnsi="Tahoma" w:cs="Tahoma"/>
              </w:rPr>
            </w:pPr>
          </w:p>
        </w:tc>
        <w:tc>
          <w:tcPr>
            <w:tcW w:w="3029"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c>
          <w:tcPr>
            <w:tcW w:w="1009" w:type="dxa"/>
            <w:vMerge w:val="continue"/>
            <w:tcBorders>
              <w:top w:val="single" w:color="000000" w:sz="8" w:space="0"/>
              <w:left w:val="nil"/>
              <w:bottom w:val="single" w:color="000000" w:sz="8" w:space="0"/>
              <w:right w:val="single" w:color="000000" w:sz="8" w:space="0"/>
            </w:tcBorders>
            <w:vAlign w:val="center"/>
          </w:tcPr>
          <w:p>
            <w:pPr>
              <w:rPr>
                <w:rFonts w:ascii="Tahoma" w:hAnsi="Tahoma" w:cs="Tahoma"/>
              </w:rPr>
            </w:pP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科目一</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科目二</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科目三</w:t>
            </w:r>
          </w:p>
        </w:tc>
        <w:tc>
          <w:tcPr>
            <w:tcW w:w="1262" w:type="dxa"/>
            <w:vMerge w:val="continue"/>
            <w:tcBorders>
              <w:top w:val="nil"/>
              <w:left w:val="nil"/>
              <w:bottom w:val="single" w:color="000000" w:sz="8" w:space="0"/>
              <w:right w:val="single" w:color="000000" w:sz="8" w:space="0"/>
            </w:tcBorders>
            <w:vAlign w:val="center"/>
          </w:tcPr>
          <w:p>
            <w:pPr>
              <w:rPr>
                <w:rFonts w:ascii="Tahoma" w:hAnsi="Tahoma" w:cs="Tahoma"/>
              </w:rPr>
            </w:pP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投资学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货币银行学+经济学原理</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大学数学（经贸类）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金融学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货币银行学+商业银行经营管理</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大学数学（经贸类）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03</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国际经济与贸易</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经济学原理+国际贸易理论与实务</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04</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能源经济</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经济学原理</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大学数学（经贸类）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05</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法学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法理学+民法、刑法</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06</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体育教育</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运动生理学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07</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汉语言文学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公文写作+现代文学史</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08</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秘书学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公文写作+秘书实务</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09</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英语听力</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综合英语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口语测试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10</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新闻学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新闻学概论+采访与写作</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11</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广播电视学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广播电视概论+新闻学概论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12</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机械设计基础+电工与电子技术</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机械设计基础+机械制造技术</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14</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机械电子工程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机械设计基础+电工与电子技术</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15</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汽车服务工程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汽车电工电子技术+汽车机械基础</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16</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自动化</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机械设计基础+机械制造技术</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17</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能源与动力工程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工程热力学+传热学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18</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电气工程及其自动化</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电路分析+电机学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19</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电子信息工程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电路分析+数字电子技术</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20</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电子信息科学与技术</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电路分析+数字电子技术</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C程序设计+数据结构(C语言版)</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22</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软件工程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C程序设计+数据结构(C语言版)</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23</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网络工程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C程序设计+数据结构(C语言版)</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24</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物联网工程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C程序设计+计算机组成原理</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25</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土木工程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建筑力学+建筑结构</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26</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水利水电工程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水力学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27</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化学工程与工艺</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物理化学+化工原理</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28</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测绘工程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测量学+测量平差</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29</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地质工程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普通地质学+矿物岩石学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30</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勘查技术与工程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普通地质学+矿物岩石学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31</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资源勘查工程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普通地质学+矿物岩石学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32</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采矿工程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煤矿地质学+煤矿开采技术</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33</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食品科学与工程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食品应用化学+食品微生物</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34</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食品质量与安全</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食品应用化学+食品微生物</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35</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园林</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植物学+园林树木栽培</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大学数学（经贸类）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36</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安全工程</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矿井通风与安全+煤矿地质学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37</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工程管理</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工程项目管理+工程合同管理</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38</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工程造价</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工程造价概论+工程结算</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39</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工商管理</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经济学原理+管理学原理</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40</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市场营销</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经济学原理+市场营销学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大学数学（经贸类）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41</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电子商务</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市场营销学+电子商务概论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大学数学（经贸类）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42</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会计学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基础会计+财务会计</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大学数学（经贸类）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基础会计+财务会计</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44</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物流管理</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物流管理+管理学原理</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大学数学（工程类）</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45</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旅游管理</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旅游学概论+导游基础</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46</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酒店管理</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旅游学概论+酒店管理概论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47</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音乐表演</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艺术概论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48</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艺术概论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49</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舞蹈学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艺术概论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50</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舞蹈编导</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艺术概论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51</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播音与主持艺术</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主持概论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视觉传达设计</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色彩</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53</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环境设计</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色彩</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54</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临床医学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生理学+诊断学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人体解剖学</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55</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中医学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中医诊断学+中医内科学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中医基础理论</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56</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针灸推拿学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中医诊断学+针灸治疗学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中医基础理论</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57</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药学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药物化学+药剂学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有机化学基础</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58</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中药学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中药学+中药鉴定学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中药化学</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59</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医学检验技术</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生物化学+临床检验基础</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有机化学基础</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60</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康复治疗学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生理学+人体运动学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61</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护理学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生理学+基础护理技术</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人体解剖学</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62</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学前教育</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学前教育学+学前心理学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63</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小学教育</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教育学+教育心理学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64</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体育教育</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运动生理学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65</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汉语言文学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古代文学+现代文学史</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现代汉语</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66</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英语听力</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综合英语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口语测试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67</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历史学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中国通史+世界通史</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68</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数学与应用数学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数学分析+解析几何</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高等代数</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69</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化学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无机化学+有机化学</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70</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C程序设计+数据结构(C语言版)</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大学数学</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71</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艺术概论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72</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舞蹈学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艺术概论</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大学语文</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专业测试</w:t>
            </w:r>
          </w:p>
        </w:tc>
      </w:tr>
      <w:tr>
        <w:tblPrEx>
          <w:tblLayout w:type="fixed"/>
          <w:tblCellMar>
            <w:top w:w="0" w:type="dxa"/>
            <w:left w:w="0" w:type="dxa"/>
            <w:bottom w:w="0" w:type="dxa"/>
            <w:right w:w="0" w:type="dxa"/>
          </w:tblCellMar>
        </w:tblPrEx>
        <w:trPr>
          <w:jc w:val="center"/>
        </w:trPr>
        <w:tc>
          <w:tcPr>
            <w:tcW w:w="832"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73</w:t>
            </w:r>
          </w:p>
        </w:tc>
        <w:tc>
          <w:tcPr>
            <w:tcW w:w="302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美术学</w:t>
            </w:r>
          </w:p>
        </w:tc>
        <w:tc>
          <w:tcPr>
            <w:tcW w:w="1009"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391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色彩</w:t>
            </w:r>
          </w:p>
        </w:tc>
        <w:tc>
          <w:tcPr>
            <w:tcW w:w="15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英语</w:t>
            </w:r>
          </w:p>
        </w:tc>
        <w:tc>
          <w:tcPr>
            <w:tcW w:w="2525"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中外美术史</w:t>
            </w:r>
          </w:p>
        </w:tc>
        <w:tc>
          <w:tcPr>
            <w:tcW w:w="126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bl>
    <w:p>
      <w:pPr>
        <w:shd w:val="clear" w:color="auto" w:fill="F4F6F6"/>
        <w:spacing w:line="480" w:lineRule="auto"/>
        <w:ind w:firstLine="420"/>
        <w:textAlignment w:val="center"/>
        <w:rPr>
          <w:rFonts w:ascii="Tahoma" w:hAnsi="Tahoma" w:cs="Tahoma"/>
        </w:rPr>
      </w:pPr>
      <w:r>
        <w:rPr>
          <w:rFonts w:ascii="Tahoma" w:hAnsi="Tahoma" w:cs="Tahoma"/>
        </w:rPr>
        <w:t>注：</w:t>
      </w:r>
      <w:r>
        <w:rPr>
          <w:rFonts w:hint="eastAsia"/>
        </w:rPr>
        <w:t>①</w:t>
      </w:r>
      <w:r>
        <w:rPr>
          <w:rFonts w:ascii="Tahoma" w:hAnsi="Tahoma" w:cs="Tahoma"/>
        </w:rPr>
        <w:t xml:space="preserve">色彩满分为200分，考试时间为3小时（8:30-11:30）; </w:t>
      </w:r>
      <w:r>
        <w:rPr>
          <w:rFonts w:hint="eastAsia"/>
        </w:rPr>
        <w:t>②</w:t>
      </w:r>
      <w:r>
        <w:rPr>
          <w:rFonts w:ascii="Tahoma" w:hAnsi="Tahoma" w:cs="Tahoma"/>
        </w:rPr>
        <w:t>英语听力满分200分，考试时间不超过1小时。</w:t>
      </w:r>
    </w:p>
    <w:p>
      <w:pPr>
        <w:shd w:val="clear" w:color="auto" w:fill="F4F6F6"/>
        <w:spacing w:line="480" w:lineRule="auto"/>
        <w:rPr>
          <w:rFonts w:ascii="Tahoma" w:hAnsi="Tahoma" w:cs="Tahoma"/>
        </w:rPr>
      </w:pPr>
      <w:r>
        <w:rPr>
          <w:rFonts w:ascii="Tahoma" w:hAnsi="Tahoma" w:cs="Tahoma"/>
        </w:rPr>
        <w:t> </w:t>
      </w:r>
    </w:p>
    <w:p>
      <w:pPr>
        <w:shd w:val="clear" w:color="auto" w:fill="F4F6F6"/>
        <w:spacing w:line="480" w:lineRule="auto"/>
        <w:rPr>
          <w:rFonts w:ascii="Tahoma" w:hAnsi="Tahoma" w:cs="Tahoma"/>
        </w:rPr>
      </w:pPr>
      <w:r>
        <w:rPr>
          <w:rFonts w:ascii="Tahoma" w:hAnsi="Tahoma" w:cs="Tahoma"/>
        </w:rPr>
        <w:t> </w:t>
      </w:r>
    </w:p>
    <w:p>
      <w:pPr>
        <w:shd w:val="clear" w:color="auto" w:fill="F4F6F6"/>
        <w:spacing w:line="480" w:lineRule="auto"/>
        <w:textAlignment w:val="center"/>
        <w:rPr>
          <w:rFonts w:ascii="Tahoma" w:hAnsi="Tahoma" w:cs="Tahoma"/>
        </w:rPr>
      </w:pPr>
      <w:r>
        <w:rPr>
          <w:rFonts w:ascii="Tahoma" w:hAnsi="Tahoma" w:cs="Tahoma"/>
        </w:rPr>
        <w:t>附件3</w:t>
      </w:r>
    </w:p>
    <w:p>
      <w:pPr>
        <w:shd w:val="clear" w:color="auto" w:fill="F4F6F6"/>
        <w:spacing w:line="480" w:lineRule="auto"/>
        <w:jc w:val="center"/>
        <w:textAlignment w:val="center"/>
        <w:rPr>
          <w:rFonts w:ascii="Tahoma" w:hAnsi="Tahoma" w:cs="Tahoma"/>
        </w:rPr>
      </w:pPr>
      <w:r>
        <w:rPr>
          <w:rStyle w:val="13"/>
          <w:rFonts w:ascii="Tahoma" w:hAnsi="Tahoma" w:cs="Tahoma"/>
        </w:rPr>
        <w:t>2019年山西省普通高校专升本确认点名称与编号对照表</w:t>
      </w:r>
    </w:p>
    <w:tbl>
      <w:tblPr>
        <w:tblStyle w:val="11"/>
        <w:tblW w:w="11340" w:type="dxa"/>
        <w:jc w:val="center"/>
        <w:tblInd w:w="0" w:type="dxa"/>
        <w:tblLayout w:type="fixed"/>
        <w:tblCellMar>
          <w:top w:w="0" w:type="dxa"/>
          <w:left w:w="0" w:type="dxa"/>
          <w:bottom w:w="0" w:type="dxa"/>
          <w:right w:w="0" w:type="dxa"/>
        </w:tblCellMar>
      </w:tblPr>
      <w:tblGrid>
        <w:gridCol w:w="2218"/>
        <w:gridCol w:w="7458"/>
        <w:gridCol w:w="1664"/>
      </w:tblGrid>
      <w:tr>
        <w:tblPrEx>
          <w:tblLayout w:type="fixed"/>
          <w:tblCellMar>
            <w:top w:w="0" w:type="dxa"/>
            <w:left w:w="0" w:type="dxa"/>
            <w:bottom w:w="0" w:type="dxa"/>
            <w:right w:w="0" w:type="dxa"/>
          </w:tblCellMar>
        </w:tblPrEx>
        <w:trPr>
          <w:jc w:val="center"/>
        </w:trPr>
        <w:tc>
          <w:tcPr>
            <w:tcW w:w="22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确认点编号</w:t>
            </w:r>
          </w:p>
        </w:tc>
        <w:tc>
          <w:tcPr>
            <w:tcW w:w="745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确 认 点 名 称</w:t>
            </w:r>
          </w:p>
        </w:tc>
        <w:tc>
          <w:tcPr>
            <w:tcW w:w="1664"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备 注</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山西交通职业技术学院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03</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山西建筑职业技术学院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04</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山西卫生健康职业学院（原山西职工医学院）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05</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山西经贸职业学院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06</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山西金融职业学院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07</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山西药科职业学院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08</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山西国际商务职业学院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09</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山西青年职业学院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10</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山西电力职业技术学院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11</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太原旅游职业学院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12</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山西工程职业技术学院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山西轻工职业技术学院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14</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山西旅游职业学院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15</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山西省财政税务专科学校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16</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山西林业职业技术学院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17</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太原城市职业技术学院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18</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山西警官职业学院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19</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山西煤炭职业技术学院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20</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山西戏剧职业学院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山西省政法管理干部学院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22</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山西老区职业技术学院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23</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山西财贸职业技术学院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24</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山西艺术职业学院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25</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26</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山西应用科技学院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27</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山西工商学院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28</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山西能源学院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29</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太原科技大学</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30</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山西传媒学院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31</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山西警察学院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32</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山西中医药大学</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33</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山西体育职业学院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34</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大同煤炭职业技术学院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35</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大同师范高等专科学校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36</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山西大同大学浑源师范分校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37</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山西工程技术学院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38</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阳泉师范高等专科学校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39</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山西煤炭职工联合大学</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40</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山西机电职业技术学院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41</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长治学院师范分院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42</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长治学院沁县师范分院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长治职业技术学院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44</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潞安职业技术学院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45</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山西财税专科学校晋东南会计学校办学点</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46</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晋城职业技术学院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47</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太原科技大学职业技术学院（晋城校区）</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48</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朔州师范高等专科学校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49</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朔州职业技术学院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50</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晋中师范高等专科学校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51</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晋中职业技术学院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山西同文职业技术学院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53</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山西华澳商贸职业学院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54</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运城师范高等专科学校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55</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山西水利职业技术学院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56</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山西运城农业职业技术学院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57</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运城幼儿师范高等专科学校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58</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运城职业技术学院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59</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运城护理职业学院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60</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山西财政税务专科学校运城财经学校办学点</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61</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忻州师范学院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62</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忻州师范学院五寨分院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63</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忻州职业技术学院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64</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山西师范大学临汾学院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65</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临汾职业技术学院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66</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山西管理职业学院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67</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山西信息职业技术学院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68</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山西医科大学汾阳学院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69</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吕梁学院汾阳师范分校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70</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吕梁学院离石师范分校</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71</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吕梁职业技术学院</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72</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山西财税专科学校吕梁会校办学点</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2218"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99</w:t>
            </w:r>
          </w:p>
        </w:tc>
        <w:tc>
          <w:tcPr>
            <w:tcW w:w="745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各市招生考试部门</w:t>
            </w:r>
          </w:p>
        </w:tc>
        <w:tc>
          <w:tcPr>
            <w:tcW w:w="166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bl>
    <w:p>
      <w:pPr>
        <w:shd w:val="clear" w:color="auto" w:fill="F4F6F6"/>
        <w:spacing w:line="480" w:lineRule="auto"/>
        <w:rPr>
          <w:rFonts w:ascii="Tahoma" w:hAnsi="Tahoma" w:cs="Tahoma"/>
        </w:rPr>
      </w:pPr>
      <w:r>
        <w:rPr>
          <w:rFonts w:ascii="Tahoma" w:hAnsi="Tahoma" w:cs="Tahoma"/>
        </w:rPr>
        <w:t> </w:t>
      </w:r>
    </w:p>
    <w:p>
      <w:pPr>
        <w:shd w:val="clear" w:color="auto" w:fill="F4F6F6"/>
        <w:spacing w:line="480" w:lineRule="auto"/>
        <w:rPr>
          <w:rFonts w:ascii="Tahoma" w:hAnsi="Tahoma" w:cs="Tahoma"/>
        </w:rPr>
      </w:pPr>
      <w:r>
        <w:rPr>
          <w:rFonts w:ascii="Tahoma" w:hAnsi="Tahoma" w:cs="Tahoma"/>
        </w:rPr>
        <w:t> </w:t>
      </w:r>
    </w:p>
    <w:p>
      <w:pPr>
        <w:shd w:val="clear" w:color="auto" w:fill="F4F6F6"/>
        <w:spacing w:line="480" w:lineRule="auto"/>
        <w:textAlignment w:val="center"/>
        <w:rPr>
          <w:rFonts w:ascii="Tahoma" w:hAnsi="Tahoma" w:cs="Tahoma"/>
        </w:rPr>
      </w:pPr>
      <w:r>
        <w:rPr>
          <w:rFonts w:ascii="Tahoma" w:hAnsi="Tahoma" w:cs="Tahoma"/>
        </w:rPr>
        <w:t>附件4</w:t>
      </w:r>
    </w:p>
    <w:p>
      <w:pPr>
        <w:shd w:val="clear" w:color="auto" w:fill="F4F6F6"/>
        <w:spacing w:line="480" w:lineRule="auto"/>
        <w:jc w:val="center"/>
        <w:textAlignment w:val="center"/>
        <w:rPr>
          <w:rFonts w:ascii="Tahoma" w:hAnsi="Tahoma" w:cs="Tahoma"/>
        </w:rPr>
      </w:pPr>
      <w:r>
        <w:rPr>
          <w:rStyle w:val="13"/>
          <w:rFonts w:ascii="Tahoma" w:hAnsi="Tahoma" w:cs="Tahoma"/>
        </w:rPr>
        <w:t>2019年山西省普通高校专升本第一批招生院校及专业</w:t>
      </w:r>
    </w:p>
    <w:tbl>
      <w:tblPr>
        <w:tblStyle w:val="11"/>
        <w:tblW w:w="12930" w:type="dxa"/>
        <w:jc w:val="center"/>
        <w:tblInd w:w="0" w:type="dxa"/>
        <w:tblLayout w:type="fixed"/>
        <w:tblCellMar>
          <w:top w:w="0" w:type="dxa"/>
          <w:left w:w="0" w:type="dxa"/>
          <w:bottom w:w="0" w:type="dxa"/>
          <w:right w:w="0" w:type="dxa"/>
        </w:tblCellMar>
      </w:tblPr>
      <w:tblGrid>
        <w:gridCol w:w="1243"/>
        <w:gridCol w:w="3233"/>
        <w:gridCol w:w="2238"/>
        <w:gridCol w:w="2984"/>
        <w:gridCol w:w="994"/>
        <w:gridCol w:w="1492"/>
        <w:gridCol w:w="746"/>
      </w:tblGrid>
      <w:tr>
        <w:tblPrEx>
          <w:tblLayout w:type="fixed"/>
          <w:tblCellMar>
            <w:top w:w="0" w:type="dxa"/>
            <w:left w:w="0" w:type="dxa"/>
            <w:bottom w:w="0" w:type="dxa"/>
            <w:right w:w="0" w:type="dxa"/>
          </w:tblCellMar>
        </w:tblPrEx>
        <w:trPr>
          <w:jc w:val="center"/>
        </w:trPr>
        <w:tc>
          <w:tcPr>
            <w:tcW w:w="124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院校编码</w:t>
            </w:r>
          </w:p>
        </w:tc>
        <w:tc>
          <w:tcPr>
            <w:tcW w:w="3233"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院校名称</w:t>
            </w:r>
          </w:p>
        </w:tc>
        <w:tc>
          <w:tcPr>
            <w:tcW w:w="223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招生专业编号</w:t>
            </w:r>
          </w:p>
        </w:tc>
        <w:tc>
          <w:tcPr>
            <w:tcW w:w="2984"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招生专业名称</w:t>
            </w:r>
          </w:p>
        </w:tc>
        <w:tc>
          <w:tcPr>
            <w:tcW w:w="994"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类别</w:t>
            </w:r>
          </w:p>
        </w:tc>
        <w:tc>
          <w:tcPr>
            <w:tcW w:w="1492"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学制（年）</w:t>
            </w:r>
          </w:p>
        </w:tc>
        <w:tc>
          <w:tcPr>
            <w:tcW w:w="746"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备注</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0101</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长治医学院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药学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医学检验技术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康复治疗学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护理学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0102</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山西中医药大学</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中医学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针灸推拿学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中药学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护理学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0103</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山西大同大学</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电气工程及其自动化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土木工程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测绘工程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采矿工程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只招</w:t>
            </w:r>
          </w:p>
          <w:p>
            <w:pPr>
              <w:spacing w:line="480" w:lineRule="auto"/>
              <w:jc w:val="center"/>
              <w:rPr>
                <w:rFonts w:ascii="Tahoma" w:hAnsi="Tahoma" w:cs="Tahoma"/>
              </w:rPr>
            </w:pPr>
            <w:r>
              <w:rPr>
                <w:rFonts w:ascii="Tahoma" w:hAnsi="Tahoma" w:cs="Tahoma"/>
              </w:rPr>
              <w:t>男生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会计学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临床医学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护理学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小学教育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汉语言文学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历史学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0104</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太原师范学院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法学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物联网工程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音乐表演</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舞蹈编导</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视觉传达设计</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学前教育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小学教育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美术学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0105</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忻州师范学院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秘书学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会计学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舞蹈编导</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学前教育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汉语言文学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数学与应用数学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美术学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0106</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运城学院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法学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体育教育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秘书学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园林</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播音与主持艺术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视觉传达设计</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体育教育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化学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舞蹈学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0107</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晋中学院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酒店管理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舞蹈学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视觉传达设计</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学前教育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小学教育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汉语言文学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数学与应用数学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美术学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0108</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太原工业学院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国际经济与贸易</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法学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工商管理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0109</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吕梁学院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新闻学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土木工程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化学工程与工艺</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食品科学与工程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学前教育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数学与应用数学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化学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美术学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0110</w:t>
            </w:r>
          </w:p>
        </w:tc>
        <w:tc>
          <w:tcPr>
            <w:tcW w:w="3233"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山西传媒学院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广播电视学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0111</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汉语言文学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网络工程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土木工程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酒店管理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0112</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山西工程技术学院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投资学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机械电子工程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电气工程及其自动化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土木工程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测绘工程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地质工程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勘查技术与工程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采矿工程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只招</w:t>
            </w:r>
          </w:p>
          <w:p>
            <w:pPr>
              <w:spacing w:line="480" w:lineRule="auto"/>
              <w:jc w:val="center"/>
              <w:rPr>
                <w:rFonts w:ascii="Tahoma" w:hAnsi="Tahoma" w:cs="Tahoma"/>
              </w:rPr>
            </w:pPr>
            <w:r>
              <w:rPr>
                <w:rFonts w:ascii="Tahoma" w:hAnsi="Tahoma" w:cs="Tahoma"/>
              </w:rPr>
              <w:t>男生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安全工程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工程造价</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0113</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山西能源学院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能源经济</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电气工程及其自动化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化学工程与工艺</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资源勘查工程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采矿工程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只招</w:t>
            </w:r>
          </w:p>
          <w:p>
            <w:pPr>
              <w:spacing w:line="480" w:lineRule="auto"/>
              <w:jc w:val="center"/>
              <w:rPr>
                <w:rFonts w:ascii="Tahoma" w:hAnsi="Tahoma" w:cs="Tahoma"/>
              </w:rPr>
            </w:pPr>
            <w:r>
              <w:rPr>
                <w:rFonts w:ascii="Tahoma" w:hAnsi="Tahoma" w:cs="Tahoma"/>
              </w:rPr>
              <w:t>男生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安全工程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0114</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长治学院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学前教育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体育教育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数学与应用数学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美术学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bl>
    <w:p>
      <w:pPr>
        <w:shd w:val="clear" w:color="auto" w:fill="F4F6F6"/>
        <w:spacing w:line="480" w:lineRule="auto"/>
        <w:jc w:val="center"/>
        <w:textAlignment w:val="center"/>
        <w:rPr>
          <w:rFonts w:ascii="Tahoma" w:hAnsi="Tahoma" w:cs="Tahoma"/>
        </w:rPr>
      </w:pPr>
      <w:r>
        <w:rPr>
          <w:rStyle w:val="13"/>
          <w:rFonts w:ascii="Tahoma" w:hAnsi="Tahoma" w:cs="Tahoma"/>
        </w:rPr>
        <w:t>2019年山西省普通高校专升本第二批招生院校及专业</w:t>
      </w:r>
    </w:p>
    <w:tbl>
      <w:tblPr>
        <w:tblStyle w:val="11"/>
        <w:tblW w:w="12930" w:type="dxa"/>
        <w:jc w:val="center"/>
        <w:tblInd w:w="0" w:type="dxa"/>
        <w:tblLayout w:type="fixed"/>
        <w:tblCellMar>
          <w:top w:w="0" w:type="dxa"/>
          <w:left w:w="0" w:type="dxa"/>
          <w:bottom w:w="0" w:type="dxa"/>
          <w:right w:w="0" w:type="dxa"/>
        </w:tblCellMar>
      </w:tblPr>
      <w:tblGrid>
        <w:gridCol w:w="1243"/>
        <w:gridCol w:w="3233"/>
        <w:gridCol w:w="2238"/>
        <w:gridCol w:w="2984"/>
        <w:gridCol w:w="994"/>
        <w:gridCol w:w="1492"/>
        <w:gridCol w:w="746"/>
      </w:tblGrid>
      <w:tr>
        <w:tblPrEx>
          <w:tblLayout w:type="fixed"/>
          <w:tblCellMar>
            <w:top w:w="0" w:type="dxa"/>
            <w:left w:w="0" w:type="dxa"/>
            <w:bottom w:w="0" w:type="dxa"/>
            <w:right w:w="0" w:type="dxa"/>
          </w:tblCellMar>
        </w:tblPrEx>
        <w:trPr>
          <w:jc w:val="center"/>
        </w:trPr>
        <w:tc>
          <w:tcPr>
            <w:tcW w:w="124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院校编码</w:t>
            </w:r>
          </w:p>
        </w:tc>
        <w:tc>
          <w:tcPr>
            <w:tcW w:w="3233"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院校名称</w:t>
            </w:r>
          </w:p>
        </w:tc>
        <w:tc>
          <w:tcPr>
            <w:tcW w:w="223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招生专业编号</w:t>
            </w:r>
          </w:p>
        </w:tc>
        <w:tc>
          <w:tcPr>
            <w:tcW w:w="2984"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招生专业名称</w:t>
            </w:r>
          </w:p>
        </w:tc>
        <w:tc>
          <w:tcPr>
            <w:tcW w:w="994"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类别</w:t>
            </w:r>
          </w:p>
        </w:tc>
        <w:tc>
          <w:tcPr>
            <w:tcW w:w="1492"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学制（年）</w:t>
            </w:r>
          </w:p>
        </w:tc>
        <w:tc>
          <w:tcPr>
            <w:tcW w:w="746"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备注</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0201</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山西工商学院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电子信息工程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物联网工程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土木工程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食品质量与安全</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工程造价</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工商管理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市场营销</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0202</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山西应用科技学院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汽车服务工程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软件工程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土木工程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工程造价</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电子商务</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物流管理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酒店管理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音乐表演</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播音与主持艺术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视觉传达设计</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0203</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山西大学商务学院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法学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体育教育</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电子信息科学与技术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工商管理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音乐表演</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舞蹈编导</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视觉传达设计</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环境设计</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0204</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太原理工大学现代科技学院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17</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能源与动力工程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26</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水利水电工程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会计学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0205</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山西农业大学信息学院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国际经济与贸易</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英语</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电气工程及其自动化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食品科学与工程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园林</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视觉传达设计</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0206</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山西医科大学晋祠学院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54</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临床医学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医学检验技术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康复治疗学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护理学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0207</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山西师范大学现代文理学院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电子信息科学与技术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食品科学与工程</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播音与主持艺术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汉语言文学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化学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0208</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山西财经大学华商学院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金融学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法学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工商管理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市场营销</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会计学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旅游管理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0209</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中北大学信息商务学院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国际经济与贸易</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05</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法学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电气工程及其自动化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39</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工商管理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财务管理</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0210</w:t>
            </w:r>
          </w:p>
        </w:tc>
        <w:tc>
          <w:tcPr>
            <w:tcW w:w="3233"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太原科技大学华科学院</w:t>
            </w: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13</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机械设计制造及其自动化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18</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电气工程及其自动化</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21</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计算机科学与技术</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40</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市场营销</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243"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3233"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223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42</w:t>
            </w:r>
          </w:p>
        </w:tc>
        <w:tc>
          <w:tcPr>
            <w:tcW w:w="298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会计学</w:t>
            </w:r>
          </w:p>
        </w:tc>
        <w:tc>
          <w:tcPr>
            <w:tcW w:w="9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非师范</w:t>
            </w:r>
          </w:p>
        </w:tc>
        <w:tc>
          <w:tcPr>
            <w:tcW w:w="1492"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w:t>
            </w:r>
          </w:p>
        </w:tc>
        <w:tc>
          <w:tcPr>
            <w:tcW w:w="74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rPr>
                <w:rFonts w:ascii="Tahoma" w:hAnsi="Tahoma" w:cs="Tahoma"/>
              </w:rPr>
            </w:pPr>
            <w:r>
              <w:rPr>
                <w:rFonts w:ascii="Tahoma" w:hAnsi="Tahoma" w:cs="Tahoma"/>
              </w:rPr>
              <w:t> </w:t>
            </w:r>
          </w:p>
        </w:tc>
      </w:tr>
    </w:tbl>
    <w:p>
      <w:pPr>
        <w:shd w:val="clear" w:color="auto" w:fill="F4F6F6"/>
        <w:spacing w:line="480" w:lineRule="auto"/>
        <w:rPr>
          <w:rFonts w:ascii="Tahoma" w:hAnsi="Tahoma" w:cs="Tahoma"/>
        </w:rPr>
      </w:pPr>
      <w:r>
        <w:rPr>
          <w:rFonts w:ascii="Tahoma" w:hAnsi="Tahoma" w:cs="Tahoma"/>
        </w:rPr>
        <w:t> </w:t>
      </w:r>
    </w:p>
    <w:p>
      <w:pPr>
        <w:shd w:val="clear" w:color="auto" w:fill="F4F6F6"/>
        <w:spacing w:line="480" w:lineRule="auto"/>
        <w:rPr>
          <w:rFonts w:ascii="Tahoma" w:hAnsi="Tahoma" w:cs="Tahoma"/>
        </w:rPr>
      </w:pPr>
      <w:r>
        <w:rPr>
          <w:rFonts w:ascii="Tahoma" w:hAnsi="Tahoma" w:cs="Tahoma"/>
        </w:rPr>
        <w:t> </w:t>
      </w:r>
    </w:p>
    <w:p>
      <w:pPr>
        <w:shd w:val="clear" w:color="auto" w:fill="F4F6F6"/>
        <w:spacing w:line="480" w:lineRule="auto"/>
        <w:textAlignment w:val="center"/>
        <w:rPr>
          <w:rFonts w:ascii="Tahoma" w:hAnsi="Tahoma" w:cs="Tahoma"/>
        </w:rPr>
      </w:pPr>
      <w:r>
        <w:rPr>
          <w:rFonts w:ascii="Tahoma" w:hAnsi="Tahoma" w:cs="Tahoma"/>
        </w:rPr>
        <w:t>附件5</w:t>
      </w:r>
    </w:p>
    <w:p>
      <w:pPr>
        <w:shd w:val="clear" w:color="auto" w:fill="F4F6F6"/>
        <w:spacing w:line="480" w:lineRule="auto"/>
        <w:jc w:val="center"/>
        <w:textAlignment w:val="center"/>
        <w:rPr>
          <w:rFonts w:ascii="Tahoma" w:hAnsi="Tahoma" w:cs="Tahoma"/>
        </w:rPr>
      </w:pPr>
      <w:r>
        <w:rPr>
          <w:rStyle w:val="13"/>
          <w:rFonts w:ascii="Tahoma" w:hAnsi="Tahoma" w:cs="Tahoma"/>
        </w:rPr>
        <w:t>2019年山西省普通高校专升本选拔考试工作日程</w:t>
      </w:r>
    </w:p>
    <w:tbl>
      <w:tblPr>
        <w:tblStyle w:val="11"/>
        <w:tblW w:w="11340" w:type="dxa"/>
        <w:jc w:val="center"/>
        <w:tblInd w:w="0" w:type="dxa"/>
        <w:tblLayout w:type="fixed"/>
        <w:tblCellMar>
          <w:top w:w="0" w:type="dxa"/>
          <w:left w:w="0" w:type="dxa"/>
          <w:bottom w:w="0" w:type="dxa"/>
          <w:right w:w="0" w:type="dxa"/>
        </w:tblCellMar>
      </w:tblPr>
      <w:tblGrid>
        <w:gridCol w:w="1197"/>
        <w:gridCol w:w="2394"/>
        <w:gridCol w:w="3661"/>
        <w:gridCol w:w="3098"/>
        <w:gridCol w:w="990"/>
      </w:tblGrid>
      <w:tr>
        <w:tblPrEx>
          <w:tblLayout w:type="fixed"/>
          <w:tblCellMar>
            <w:top w:w="0" w:type="dxa"/>
            <w:left w:w="0" w:type="dxa"/>
            <w:bottom w:w="0" w:type="dxa"/>
            <w:right w:w="0" w:type="dxa"/>
          </w:tblCellMar>
        </w:tblPrEx>
        <w:trPr>
          <w:jc w:val="center"/>
        </w:trPr>
        <w:tc>
          <w:tcPr>
            <w:tcW w:w="3591"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工 作 时 间</w:t>
            </w:r>
          </w:p>
        </w:tc>
        <w:tc>
          <w:tcPr>
            <w:tcW w:w="3661"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工 作 内 容</w:t>
            </w:r>
          </w:p>
        </w:tc>
        <w:tc>
          <w:tcPr>
            <w:tcW w:w="309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负 责 单 位</w:t>
            </w:r>
          </w:p>
        </w:tc>
        <w:tc>
          <w:tcPr>
            <w:tcW w:w="990"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Style w:val="13"/>
                <w:rFonts w:ascii="Tahoma" w:hAnsi="Tahoma" w:cs="Tahoma"/>
              </w:rPr>
              <w:t>备 注</w:t>
            </w:r>
          </w:p>
        </w:tc>
      </w:tr>
      <w:tr>
        <w:tblPrEx>
          <w:tblLayout w:type="fixed"/>
          <w:tblCellMar>
            <w:top w:w="0" w:type="dxa"/>
            <w:left w:w="0" w:type="dxa"/>
            <w:bottom w:w="0" w:type="dxa"/>
            <w:right w:w="0" w:type="dxa"/>
          </w:tblCellMar>
        </w:tblPrEx>
        <w:trPr>
          <w:jc w:val="center"/>
        </w:trPr>
        <w:tc>
          <w:tcPr>
            <w:tcW w:w="1197"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2018年</w:t>
            </w: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12月上旬</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安排报名工作</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省招考中心</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12月18日-22日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考生网上报名</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省、市考试部门</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12月23日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各确认点下载报名数据</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市考试部门、确认点</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12月24日-27日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现场确认</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确认点</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12月28日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汇总各确认点考生报名信息</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市考试部门</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2019年</w:t>
            </w: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1月3日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汇总全省考生报名信息</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省、市考试部门</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5月下旬</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召开考务工作会议</w:t>
            </w:r>
          </w:p>
        </w:tc>
        <w:tc>
          <w:tcPr>
            <w:tcW w:w="3098"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省招考中心</w:t>
            </w:r>
          </w:p>
        </w:tc>
        <w:tc>
          <w:tcPr>
            <w:tcW w:w="990" w:type="dxa"/>
            <w:vMerge w:val="restart"/>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召开巡视检查团培训会议</w:t>
            </w:r>
          </w:p>
        </w:tc>
        <w:tc>
          <w:tcPr>
            <w:tcW w:w="3098" w:type="dxa"/>
            <w:vMerge w:val="continue"/>
            <w:tcBorders>
              <w:top w:val="nil"/>
              <w:left w:val="nil"/>
              <w:bottom w:val="single" w:color="000000" w:sz="8" w:space="0"/>
              <w:right w:val="single" w:color="000000" w:sz="8" w:space="0"/>
            </w:tcBorders>
            <w:vAlign w:val="center"/>
          </w:tcPr>
          <w:p>
            <w:pPr>
              <w:rPr>
                <w:rFonts w:ascii="Tahoma" w:hAnsi="Tahoma" w:cs="Tahoma"/>
              </w:rPr>
            </w:pPr>
          </w:p>
        </w:tc>
        <w:tc>
          <w:tcPr>
            <w:tcW w:w="990" w:type="dxa"/>
            <w:vMerge w:val="continue"/>
            <w:tcBorders>
              <w:top w:val="nil"/>
              <w:left w:val="nil"/>
              <w:bottom w:val="single" w:color="000000" w:sz="8" w:space="0"/>
              <w:right w:val="single" w:color="000000" w:sz="8" w:space="0"/>
            </w:tcBorders>
            <w:vAlign w:val="center"/>
          </w:tcPr>
          <w:p>
            <w:pPr>
              <w:rPr>
                <w:rFonts w:ascii="Tahoma" w:hAnsi="Tahoma" w:cs="Tahoma"/>
              </w:rPr>
            </w:pP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6月5日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领取考试材料</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市考试部门</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6月9日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考试</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省、市考试部门</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6月10日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将考试材料送到指定地点</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市考试部门、评卷点</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6月11日-23日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专业测试、评卷、成绩合成</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评卷点、有关院校</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6月17日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向省报送专业测试成绩</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有关院校</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6月26日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公布考生成绩</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省招考中心</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6月27日-28日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考生申请成绩复查</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市考试部门、确认点</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7月2日</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复核成绩并通知考生</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省、市考试部门</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7月初</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网上填报志愿</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省、市考试部门</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7月-8月</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专升本录取</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省教育厅、省招考中心</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r>
        <w:tblPrEx>
          <w:tblLayout w:type="fixed"/>
          <w:tblCellMar>
            <w:top w:w="0" w:type="dxa"/>
            <w:left w:w="0" w:type="dxa"/>
            <w:bottom w:w="0" w:type="dxa"/>
            <w:right w:w="0" w:type="dxa"/>
          </w:tblCellMar>
        </w:tblPrEx>
        <w:trPr>
          <w:jc w:val="center"/>
        </w:trPr>
        <w:tc>
          <w:tcPr>
            <w:tcW w:w="1197" w:type="dxa"/>
            <w:vMerge w:val="continue"/>
            <w:tcBorders>
              <w:top w:val="nil"/>
              <w:left w:val="single" w:color="000000" w:sz="8" w:space="0"/>
              <w:bottom w:val="single" w:color="000000" w:sz="8" w:space="0"/>
              <w:right w:val="single" w:color="000000" w:sz="8" w:space="0"/>
            </w:tcBorders>
            <w:vAlign w:val="center"/>
          </w:tcPr>
          <w:p>
            <w:pPr>
              <w:rPr>
                <w:rFonts w:ascii="Tahoma" w:hAnsi="Tahoma" w:cs="Tahoma"/>
              </w:rPr>
            </w:pPr>
          </w:p>
        </w:tc>
        <w:tc>
          <w:tcPr>
            <w:tcW w:w="239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9月</w:t>
            </w:r>
          </w:p>
        </w:tc>
        <w:tc>
          <w:tcPr>
            <w:tcW w:w="366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textAlignment w:val="center"/>
              <w:rPr>
                <w:rFonts w:ascii="Tahoma" w:hAnsi="Tahoma" w:cs="Tahoma"/>
              </w:rPr>
            </w:pPr>
            <w:r>
              <w:rPr>
                <w:rFonts w:ascii="Tahoma" w:hAnsi="Tahoma" w:cs="Tahoma"/>
              </w:rPr>
              <w:t>办理录取审批手续</w:t>
            </w:r>
          </w:p>
        </w:tc>
        <w:tc>
          <w:tcPr>
            <w:tcW w:w="30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jc w:val="center"/>
              <w:textAlignment w:val="center"/>
              <w:rPr>
                <w:rFonts w:ascii="Tahoma" w:hAnsi="Tahoma" w:cs="Tahoma"/>
              </w:rPr>
            </w:pPr>
            <w:r>
              <w:rPr>
                <w:rFonts w:ascii="Tahoma" w:hAnsi="Tahoma" w:cs="Tahoma"/>
              </w:rPr>
              <w:t>省招考中心、招生院校</w:t>
            </w:r>
          </w:p>
        </w:tc>
        <w:tc>
          <w:tcPr>
            <w:tcW w:w="990"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480" w:lineRule="auto"/>
              <w:rPr>
                <w:rFonts w:ascii="Tahoma" w:hAnsi="Tahoma" w:cs="Tahoma"/>
              </w:rPr>
            </w:pPr>
            <w:r>
              <w:rPr>
                <w:rFonts w:ascii="Tahoma" w:hAnsi="Tahoma" w:cs="Tahoma"/>
              </w:rPr>
              <w:t> </w:t>
            </w:r>
          </w:p>
        </w:tc>
      </w:tr>
    </w:tbl>
    <w:p>
      <w:pPr>
        <w:shd w:val="clear" w:color="auto" w:fill="F4F6F6"/>
        <w:spacing w:line="480" w:lineRule="auto"/>
        <w:rPr>
          <w:rFonts w:ascii="Tahoma" w:hAnsi="Tahoma" w:cs="Tahoma"/>
        </w:rPr>
      </w:pPr>
      <w:r>
        <w:rPr>
          <w:rFonts w:ascii="Tahoma" w:hAnsi="Tahoma" w:cs="Tahoma"/>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FC"/>
    <w:rsid w:val="00A352FC"/>
    <w:rsid w:val="00B27C2F"/>
    <w:rsid w:val="00CD2DC8"/>
    <w:rsid w:val="1A00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16"/>
    <w:qFormat/>
    <w:uiPriority w:val="9"/>
    <w:pPr>
      <w:spacing w:before="100" w:beforeAutospacing="1" w:after="100" w:afterAutospacing="1"/>
      <w:outlineLvl w:val="0"/>
    </w:pPr>
    <w:rPr>
      <w:b/>
      <w:bCs/>
      <w:kern w:val="36"/>
      <w:sz w:val="48"/>
      <w:szCs w:val="48"/>
    </w:rPr>
  </w:style>
  <w:style w:type="paragraph" w:styleId="3">
    <w:name w:val="heading 2"/>
    <w:basedOn w:val="1"/>
    <w:next w:val="1"/>
    <w:link w:val="17"/>
    <w:qFormat/>
    <w:uiPriority w:val="9"/>
    <w:pPr>
      <w:spacing w:before="100" w:beforeAutospacing="1" w:after="100" w:afterAutospacing="1"/>
      <w:outlineLvl w:val="1"/>
    </w:pPr>
    <w:rPr>
      <w:b/>
      <w:bCs/>
      <w:color w:val="B6270E"/>
      <w:sz w:val="36"/>
      <w:szCs w:val="36"/>
    </w:rPr>
  </w:style>
  <w:style w:type="paragraph" w:styleId="4">
    <w:name w:val="heading 3"/>
    <w:basedOn w:val="1"/>
    <w:next w:val="1"/>
    <w:link w:val="18"/>
    <w:qFormat/>
    <w:uiPriority w:val="9"/>
    <w:pPr>
      <w:spacing w:before="100" w:beforeAutospacing="1" w:after="100" w:afterAutospacing="1"/>
      <w:outlineLvl w:val="2"/>
    </w:pPr>
    <w:rPr>
      <w:b/>
      <w:bCs/>
      <w:sz w:val="27"/>
      <w:szCs w:val="27"/>
    </w:rPr>
  </w:style>
  <w:style w:type="paragraph" w:styleId="5">
    <w:name w:val="heading 4"/>
    <w:basedOn w:val="1"/>
    <w:next w:val="1"/>
    <w:link w:val="19"/>
    <w:qFormat/>
    <w:uiPriority w:val="9"/>
    <w:pPr>
      <w:spacing w:before="100" w:beforeAutospacing="1" w:after="100" w:afterAutospacing="1"/>
      <w:outlineLvl w:val="3"/>
    </w:pPr>
    <w:rPr>
      <w:b/>
      <w:bCs/>
      <w:color w:val="FFFFFF"/>
    </w:rPr>
  </w:style>
  <w:style w:type="paragraph" w:styleId="6">
    <w:name w:val="heading 5"/>
    <w:basedOn w:val="1"/>
    <w:next w:val="1"/>
    <w:link w:val="20"/>
    <w:qFormat/>
    <w:uiPriority w:val="9"/>
    <w:pPr>
      <w:spacing w:before="100" w:beforeAutospacing="1" w:after="100" w:afterAutospacing="1"/>
      <w:outlineLvl w:val="4"/>
    </w:pPr>
    <w:rPr>
      <w:b/>
      <w:bCs/>
      <w:sz w:val="20"/>
      <w:szCs w:val="20"/>
    </w:rPr>
  </w:style>
  <w:style w:type="paragraph" w:styleId="7">
    <w:name w:val="heading 6"/>
    <w:basedOn w:val="1"/>
    <w:next w:val="1"/>
    <w:link w:val="21"/>
    <w:qFormat/>
    <w:uiPriority w:val="9"/>
    <w:pPr>
      <w:spacing w:before="100" w:beforeAutospacing="1" w:after="100" w:afterAutospacing="1"/>
      <w:outlineLvl w:val="5"/>
    </w:pPr>
    <w:rPr>
      <w:b/>
      <w:bCs/>
      <w:sz w:val="15"/>
      <w:szCs w:val="15"/>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250"/>
    <w:semiHidden/>
    <w:unhideWhenUsed/>
    <w:uiPriority w:val="99"/>
    <w:rPr>
      <w:sz w:val="18"/>
      <w:szCs w:val="18"/>
    </w:rPr>
  </w:style>
  <w:style w:type="paragraph" w:styleId="9">
    <w:name w:val="header"/>
    <w:basedOn w:val="1"/>
    <w:link w:val="251"/>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100" w:beforeAutospacing="1" w:after="100" w:afterAutospacing="1"/>
    </w:pPr>
  </w:style>
  <w:style w:type="character" w:styleId="13">
    <w:name w:val="Strong"/>
    <w:basedOn w:val="12"/>
    <w:qFormat/>
    <w:uiPriority w:val="22"/>
    <w:rPr>
      <w:b/>
      <w:bCs/>
    </w:rPr>
  </w:style>
  <w:style w:type="character" w:styleId="14">
    <w:name w:val="FollowedHyperlink"/>
    <w:basedOn w:val="12"/>
    <w:semiHidden/>
    <w:unhideWhenUsed/>
    <w:qFormat/>
    <w:uiPriority w:val="99"/>
    <w:rPr>
      <w:color w:val="252525"/>
      <w:u w:val="none"/>
    </w:rPr>
  </w:style>
  <w:style w:type="character" w:styleId="15">
    <w:name w:val="Hyperlink"/>
    <w:basedOn w:val="12"/>
    <w:semiHidden/>
    <w:unhideWhenUsed/>
    <w:uiPriority w:val="99"/>
    <w:rPr>
      <w:color w:val="252525"/>
      <w:u w:val="none"/>
    </w:rPr>
  </w:style>
  <w:style w:type="character" w:customStyle="1" w:styleId="16">
    <w:name w:val="标题 1 Char"/>
    <w:basedOn w:val="12"/>
    <w:link w:val="2"/>
    <w:uiPriority w:val="9"/>
    <w:rPr>
      <w:rFonts w:ascii="宋体" w:hAnsi="宋体" w:eastAsia="宋体" w:cs="宋体"/>
      <w:b/>
      <w:bCs/>
      <w:kern w:val="36"/>
      <w:sz w:val="48"/>
      <w:szCs w:val="48"/>
    </w:rPr>
  </w:style>
  <w:style w:type="character" w:customStyle="1" w:styleId="17">
    <w:name w:val="标题 2 Char"/>
    <w:basedOn w:val="12"/>
    <w:link w:val="3"/>
    <w:uiPriority w:val="9"/>
    <w:rPr>
      <w:rFonts w:ascii="宋体" w:hAnsi="宋体" w:eastAsia="宋体" w:cs="宋体"/>
      <w:b/>
      <w:bCs/>
      <w:color w:val="B6270E"/>
      <w:kern w:val="0"/>
      <w:sz w:val="36"/>
      <w:szCs w:val="36"/>
    </w:rPr>
  </w:style>
  <w:style w:type="character" w:customStyle="1" w:styleId="18">
    <w:name w:val="标题 3 Char"/>
    <w:basedOn w:val="12"/>
    <w:link w:val="4"/>
    <w:uiPriority w:val="9"/>
    <w:rPr>
      <w:rFonts w:ascii="宋体" w:hAnsi="宋体" w:eastAsia="宋体" w:cs="宋体"/>
      <w:b/>
      <w:bCs/>
      <w:kern w:val="0"/>
      <w:sz w:val="27"/>
      <w:szCs w:val="27"/>
    </w:rPr>
  </w:style>
  <w:style w:type="character" w:customStyle="1" w:styleId="19">
    <w:name w:val="标题 4 Char"/>
    <w:basedOn w:val="12"/>
    <w:link w:val="5"/>
    <w:uiPriority w:val="9"/>
    <w:rPr>
      <w:rFonts w:ascii="宋体" w:hAnsi="宋体" w:eastAsia="宋体" w:cs="宋体"/>
      <w:b/>
      <w:bCs/>
      <w:color w:val="FFFFFF"/>
      <w:kern w:val="0"/>
      <w:sz w:val="24"/>
      <w:szCs w:val="24"/>
    </w:rPr>
  </w:style>
  <w:style w:type="character" w:customStyle="1" w:styleId="20">
    <w:name w:val="标题 5 Char"/>
    <w:basedOn w:val="12"/>
    <w:link w:val="6"/>
    <w:uiPriority w:val="9"/>
    <w:rPr>
      <w:rFonts w:ascii="宋体" w:hAnsi="宋体" w:eastAsia="宋体" w:cs="宋体"/>
      <w:b/>
      <w:bCs/>
      <w:kern w:val="0"/>
      <w:sz w:val="20"/>
      <w:szCs w:val="20"/>
    </w:rPr>
  </w:style>
  <w:style w:type="character" w:customStyle="1" w:styleId="21">
    <w:name w:val="标题 6 Char"/>
    <w:basedOn w:val="12"/>
    <w:link w:val="7"/>
    <w:uiPriority w:val="9"/>
    <w:rPr>
      <w:rFonts w:ascii="宋体" w:hAnsi="宋体" w:eastAsia="宋体" w:cs="宋体"/>
      <w:b/>
      <w:bCs/>
      <w:kern w:val="0"/>
      <w:sz w:val="15"/>
      <w:szCs w:val="15"/>
    </w:rPr>
  </w:style>
  <w:style w:type="paragraph" w:customStyle="1" w:styleId="22">
    <w:name w:val="warpper"/>
    <w:basedOn w:val="1"/>
    <w:qFormat/>
    <w:uiPriority w:val="0"/>
  </w:style>
  <w:style w:type="paragraph" w:customStyle="1" w:styleId="23">
    <w:name w:val="main"/>
    <w:basedOn w:val="1"/>
    <w:qFormat/>
    <w:uiPriority w:val="0"/>
    <w:pPr>
      <w:shd w:val="clear" w:color="auto" w:fill="C8E3FF"/>
      <w:spacing w:before="100" w:beforeAutospacing="1" w:after="100" w:afterAutospacing="1" w:line="345" w:lineRule="atLeast"/>
    </w:pPr>
    <w:rPr>
      <w:sz w:val="18"/>
      <w:szCs w:val="18"/>
    </w:rPr>
  </w:style>
  <w:style w:type="paragraph" w:customStyle="1" w:styleId="24">
    <w:name w:val="menu"/>
    <w:basedOn w:val="1"/>
    <w:uiPriority w:val="0"/>
    <w:pPr>
      <w:shd w:val="clear" w:color="auto" w:fill="1369C0"/>
      <w:spacing w:before="100" w:beforeAutospacing="1" w:after="100" w:afterAutospacing="1" w:line="585" w:lineRule="atLeast"/>
    </w:pPr>
  </w:style>
  <w:style w:type="paragraph" w:customStyle="1" w:styleId="25">
    <w:name w:val="mod_subcate_side_hd"/>
    <w:basedOn w:val="1"/>
    <w:qFormat/>
    <w:uiPriority w:val="0"/>
    <w:pPr>
      <w:spacing w:before="75" w:after="150" w:line="450" w:lineRule="atLeast"/>
      <w:ind w:left="60"/>
    </w:pPr>
    <w:rPr>
      <w:color w:val="333333"/>
      <w:sz w:val="21"/>
      <w:szCs w:val="21"/>
    </w:rPr>
  </w:style>
  <w:style w:type="paragraph" w:customStyle="1" w:styleId="26">
    <w:name w:val="mod_subcate_side_hotlist"/>
    <w:basedOn w:val="1"/>
    <w:qFormat/>
    <w:uiPriority w:val="0"/>
    <w:pPr>
      <w:spacing w:before="100" w:beforeAutospacing="1" w:after="100" w:afterAutospacing="1"/>
      <w:ind w:left="60"/>
    </w:pPr>
  </w:style>
  <w:style w:type="paragraph" w:customStyle="1" w:styleId="27">
    <w:name w:val="mod_subcate_gg"/>
    <w:basedOn w:val="1"/>
    <w:qFormat/>
    <w:uiPriority w:val="0"/>
    <w:pPr>
      <w:spacing w:before="100" w:beforeAutospacing="1" w:after="100" w:afterAutospacing="1"/>
    </w:pPr>
  </w:style>
  <w:style w:type="paragraph" w:customStyle="1" w:styleId="28">
    <w:name w:val="bgw"/>
    <w:basedOn w:val="1"/>
    <w:uiPriority w:val="0"/>
    <w:pPr>
      <w:shd w:val="clear" w:color="auto" w:fill="FFFFFF"/>
      <w:spacing w:before="100" w:beforeAutospacing="1" w:after="100" w:afterAutospacing="1"/>
    </w:pPr>
  </w:style>
  <w:style w:type="paragraph" w:customStyle="1" w:styleId="29">
    <w:name w:val="dj"/>
    <w:basedOn w:val="1"/>
    <w:qFormat/>
    <w:uiPriority w:val="0"/>
    <w:pPr>
      <w:spacing w:before="100" w:beforeAutospacing="1" w:after="100" w:afterAutospacing="1"/>
    </w:pPr>
    <w:rPr>
      <w:sz w:val="18"/>
      <w:szCs w:val="18"/>
    </w:rPr>
  </w:style>
  <w:style w:type="paragraph" w:customStyle="1" w:styleId="30">
    <w:name w:val="list-one"/>
    <w:basedOn w:val="1"/>
    <w:uiPriority w:val="0"/>
    <w:pPr>
      <w:shd w:val="clear" w:color="auto" w:fill="FFFFFF"/>
      <w:spacing w:before="100" w:beforeAutospacing="1" w:after="100" w:afterAutospacing="1"/>
    </w:pPr>
  </w:style>
  <w:style w:type="paragraph" w:customStyle="1" w:styleId="31">
    <w:name w:val="indexright"/>
    <w:basedOn w:val="1"/>
    <w:uiPriority w:val="0"/>
    <w:pPr>
      <w:spacing w:after="100" w:afterAutospacing="1"/>
    </w:pPr>
  </w:style>
  <w:style w:type="paragraph" w:customStyle="1" w:styleId="32">
    <w:name w:val="indexleft"/>
    <w:basedOn w:val="1"/>
    <w:qFormat/>
    <w:uiPriority w:val="0"/>
    <w:pPr>
      <w:spacing w:after="100" w:afterAutospacing="1"/>
    </w:pPr>
  </w:style>
  <w:style w:type="paragraph" w:customStyle="1" w:styleId="33">
    <w:name w:val="main_left2"/>
    <w:basedOn w:val="1"/>
    <w:qFormat/>
    <w:uiPriority w:val="0"/>
  </w:style>
  <w:style w:type="paragraph" w:customStyle="1" w:styleId="34">
    <w:name w:val="main_left2_nei01"/>
    <w:basedOn w:val="1"/>
    <w:qFormat/>
    <w:uiPriority w:val="0"/>
    <w:pPr>
      <w:spacing w:before="100" w:beforeAutospacing="1" w:after="100" w:afterAutospacing="1"/>
    </w:pPr>
  </w:style>
  <w:style w:type="paragraph" w:customStyle="1" w:styleId="35">
    <w:name w:val="main_left2_nei01_xia"/>
    <w:basedOn w:val="1"/>
    <w:uiPriority w:val="0"/>
    <w:pPr>
      <w:spacing w:before="100" w:beforeAutospacing="1" w:after="100" w:afterAutospacing="1"/>
    </w:pPr>
  </w:style>
  <w:style w:type="paragraph" w:customStyle="1" w:styleId="36">
    <w:name w:val="xinxi"/>
    <w:basedOn w:val="1"/>
    <w:qFormat/>
    <w:uiPriority w:val="0"/>
    <w:pPr>
      <w:shd w:val="clear" w:color="auto" w:fill="FFFFFF"/>
    </w:pPr>
    <w:rPr>
      <w:sz w:val="18"/>
      <w:szCs w:val="18"/>
    </w:rPr>
  </w:style>
  <w:style w:type="paragraph" w:customStyle="1" w:styleId="37">
    <w:name w:val="xinxi_left1"/>
    <w:basedOn w:val="1"/>
    <w:uiPriority w:val="0"/>
  </w:style>
  <w:style w:type="paragraph" w:customStyle="1" w:styleId="38">
    <w:name w:val="xinxi_left2"/>
    <w:basedOn w:val="1"/>
    <w:uiPriority w:val="0"/>
    <w:pPr>
      <w:spacing w:before="120"/>
    </w:pPr>
  </w:style>
  <w:style w:type="paragraph" w:customStyle="1" w:styleId="39">
    <w:name w:val="xinxi_left_new"/>
    <w:basedOn w:val="1"/>
    <w:qFormat/>
    <w:uiPriority w:val="0"/>
    <w:pPr>
      <w:spacing w:before="100" w:beforeAutospacing="1" w:after="100" w:afterAutospacing="1"/>
    </w:pPr>
  </w:style>
  <w:style w:type="paragraph" w:customStyle="1" w:styleId="40">
    <w:name w:val="xinxi_right1"/>
    <w:basedOn w:val="1"/>
    <w:qFormat/>
    <w:uiPriority w:val="0"/>
    <w:pPr>
      <w:spacing w:after="75"/>
      <w:ind w:left="345"/>
    </w:pPr>
  </w:style>
  <w:style w:type="paragraph" w:customStyle="1" w:styleId="41">
    <w:name w:val="xinxi_right2"/>
    <w:basedOn w:val="1"/>
    <w:qFormat/>
    <w:uiPriority w:val="0"/>
    <w:pPr>
      <w:spacing w:before="150"/>
      <w:ind w:left="345"/>
    </w:pPr>
  </w:style>
  <w:style w:type="paragraph" w:customStyle="1" w:styleId="42">
    <w:name w:val="xinxi_class"/>
    <w:basedOn w:val="1"/>
    <w:uiPriority w:val="0"/>
    <w:pPr>
      <w:shd w:val="clear" w:color="auto" w:fill="FFFFFF"/>
    </w:pPr>
    <w:rPr>
      <w:sz w:val="18"/>
      <w:szCs w:val="18"/>
    </w:rPr>
  </w:style>
  <w:style w:type="paragraph" w:customStyle="1" w:styleId="43">
    <w:name w:val="xinxi_class1"/>
    <w:basedOn w:val="1"/>
    <w:qFormat/>
    <w:uiPriority w:val="0"/>
    <w:pPr>
      <w:shd w:val="clear" w:color="auto" w:fill="FFFFFF"/>
      <w:spacing w:before="450"/>
    </w:pPr>
    <w:rPr>
      <w:sz w:val="18"/>
      <w:szCs w:val="18"/>
    </w:rPr>
  </w:style>
  <w:style w:type="paragraph" w:customStyle="1" w:styleId="44">
    <w:name w:val="xinxi_class_left1"/>
    <w:basedOn w:val="1"/>
    <w:uiPriority w:val="0"/>
    <w:pPr>
      <w:spacing w:before="100" w:beforeAutospacing="1" w:after="100" w:afterAutospacing="1"/>
      <w:ind w:right="-3000"/>
    </w:pPr>
  </w:style>
  <w:style w:type="paragraph" w:customStyle="1" w:styleId="45">
    <w:name w:val="xinxi_gknews1"/>
    <w:basedOn w:val="1"/>
    <w:uiPriority w:val="0"/>
    <w:pPr>
      <w:shd w:val="clear" w:color="auto" w:fill="FFFFFF"/>
    </w:pPr>
    <w:rPr>
      <w:sz w:val="18"/>
      <w:szCs w:val="18"/>
    </w:rPr>
  </w:style>
  <w:style w:type="paragraph" w:customStyle="1" w:styleId="46">
    <w:name w:val="xinxi_gknews_left1"/>
    <w:basedOn w:val="1"/>
    <w:qFormat/>
    <w:uiPriority w:val="0"/>
    <w:pPr>
      <w:spacing w:before="100" w:beforeAutospacing="1" w:after="100" w:afterAutospacing="1"/>
      <w:ind w:right="-2850"/>
    </w:pPr>
  </w:style>
  <w:style w:type="paragraph" w:customStyle="1" w:styleId="47">
    <w:name w:val="h1"/>
    <w:basedOn w:val="1"/>
    <w:uiPriority w:val="0"/>
    <w:pPr>
      <w:spacing w:before="100" w:beforeAutospacing="1" w:after="100" w:afterAutospacing="1"/>
    </w:pPr>
    <w:rPr>
      <w:b/>
      <w:bCs/>
      <w:color w:val="B6270E"/>
    </w:rPr>
  </w:style>
  <w:style w:type="paragraph" w:customStyle="1" w:styleId="48">
    <w:name w:val="main-con_class"/>
    <w:basedOn w:val="1"/>
    <w:qFormat/>
    <w:uiPriority w:val="0"/>
    <w:pPr>
      <w:spacing w:before="100" w:beforeAutospacing="1" w:after="100" w:afterAutospacing="1"/>
      <w:ind w:right="300"/>
    </w:pPr>
  </w:style>
  <w:style w:type="paragraph" w:customStyle="1" w:styleId="49">
    <w:name w:val="newsbody"/>
    <w:basedOn w:val="1"/>
    <w:qFormat/>
    <w:uiPriority w:val="0"/>
    <w:pPr>
      <w:pBdr>
        <w:top w:val="single" w:color="FFFFFF" w:sz="6" w:space="0"/>
        <w:bottom w:val="single" w:color="E3ECEE" w:sz="6" w:space="0"/>
      </w:pBdr>
      <w:shd w:val="clear" w:color="auto" w:fill="FFFFFF"/>
      <w:spacing w:before="100" w:beforeAutospacing="1" w:after="100" w:afterAutospacing="1" w:line="420" w:lineRule="atLeast"/>
    </w:pPr>
  </w:style>
  <w:style w:type="paragraph" w:customStyle="1" w:styleId="50">
    <w:name w:val="newsbodylist"/>
    <w:basedOn w:val="1"/>
    <w:qFormat/>
    <w:uiPriority w:val="0"/>
    <w:pPr>
      <w:shd w:val="clear" w:color="auto" w:fill="FFFFFF"/>
      <w:spacing w:before="100" w:beforeAutospacing="1" w:after="100" w:afterAutospacing="1" w:line="300" w:lineRule="atLeast"/>
    </w:pPr>
  </w:style>
  <w:style w:type="paragraph" w:customStyle="1" w:styleId="51">
    <w:name w:val="newsbodylist1"/>
    <w:basedOn w:val="1"/>
    <w:qFormat/>
    <w:uiPriority w:val="0"/>
    <w:pPr>
      <w:shd w:val="clear" w:color="auto" w:fill="FFFFFF"/>
      <w:spacing w:before="100" w:beforeAutospacing="1" w:after="100" w:afterAutospacing="1" w:line="450" w:lineRule="atLeast"/>
    </w:pPr>
  </w:style>
  <w:style w:type="paragraph" w:customStyle="1" w:styleId="52">
    <w:name w:val="newsbodydate"/>
    <w:basedOn w:val="1"/>
    <w:uiPriority w:val="0"/>
    <w:pPr>
      <w:shd w:val="clear" w:color="auto" w:fill="FFFFFF"/>
      <w:spacing w:before="100" w:beforeAutospacing="1" w:after="100" w:afterAutospacing="1" w:line="420" w:lineRule="atLeast"/>
    </w:pPr>
    <w:rPr>
      <w:color w:val="999999"/>
      <w:sz w:val="18"/>
      <w:szCs w:val="18"/>
    </w:rPr>
  </w:style>
  <w:style w:type="paragraph" w:customStyle="1" w:styleId="53">
    <w:name w:val="newsbody1"/>
    <w:basedOn w:val="1"/>
    <w:qFormat/>
    <w:uiPriority w:val="0"/>
    <w:pPr>
      <w:pBdr>
        <w:top w:val="single" w:color="FFFFFF" w:sz="6" w:space="0"/>
        <w:bottom w:val="single" w:color="E3ECEE" w:sz="2" w:space="0"/>
      </w:pBdr>
      <w:shd w:val="clear" w:color="auto" w:fill="FFFFFF"/>
      <w:spacing w:before="100" w:beforeAutospacing="1" w:after="100" w:afterAutospacing="1" w:line="450" w:lineRule="atLeast"/>
    </w:pPr>
  </w:style>
  <w:style w:type="paragraph" w:customStyle="1" w:styleId="54">
    <w:name w:val="lefts"/>
    <w:basedOn w:val="1"/>
    <w:uiPriority w:val="0"/>
    <w:pPr>
      <w:spacing w:before="100" w:beforeAutospacing="1" w:after="100" w:afterAutospacing="1"/>
      <w:ind w:right="225"/>
    </w:pPr>
  </w:style>
  <w:style w:type="paragraph" w:customStyle="1" w:styleId="55">
    <w:name w:val="lefts1"/>
    <w:basedOn w:val="1"/>
    <w:uiPriority w:val="0"/>
    <w:pPr>
      <w:spacing w:before="100" w:beforeAutospacing="1" w:after="100" w:afterAutospacing="1"/>
    </w:pPr>
  </w:style>
  <w:style w:type="paragraph" w:customStyle="1" w:styleId="56">
    <w:name w:val="indexyxztc"/>
    <w:basedOn w:val="1"/>
    <w:qFormat/>
    <w:uiPriority w:val="0"/>
    <w:pPr>
      <w:spacing w:before="100" w:beforeAutospacing="1" w:after="100" w:afterAutospacing="1"/>
    </w:pPr>
    <w:rPr>
      <w:sz w:val="18"/>
      <w:szCs w:val="18"/>
    </w:rPr>
  </w:style>
  <w:style w:type="paragraph" w:customStyle="1" w:styleId="57">
    <w:name w:val="bottom1"/>
    <w:basedOn w:val="1"/>
    <w:qFormat/>
    <w:uiPriority w:val="0"/>
    <w:pPr>
      <w:spacing w:before="100" w:beforeAutospacing="1" w:after="100" w:afterAutospacing="1"/>
    </w:pPr>
    <w:rPr>
      <w:rFonts w:ascii="Tahoma" w:hAnsi="Tahoma" w:cs="Tahoma"/>
      <w:color w:val="FFFFFF"/>
      <w:sz w:val="18"/>
      <w:szCs w:val="18"/>
    </w:rPr>
  </w:style>
  <w:style w:type="paragraph" w:customStyle="1" w:styleId="58">
    <w:name w:val="jtanks_right_luntan"/>
    <w:basedOn w:val="1"/>
    <w:qFormat/>
    <w:uiPriority w:val="0"/>
    <w:pPr>
      <w:spacing w:before="100" w:beforeAutospacing="1" w:after="100" w:afterAutospacing="1"/>
    </w:pPr>
  </w:style>
  <w:style w:type="paragraph" w:customStyle="1" w:styleId="59">
    <w:name w:val="jtanks_right_luntan_nei"/>
    <w:basedOn w:val="1"/>
    <w:uiPriority w:val="0"/>
    <w:pPr>
      <w:pBdr>
        <w:top w:val="single" w:color="929292" w:sz="18" w:space="0"/>
      </w:pBdr>
      <w:shd w:val="clear" w:color="auto" w:fill="DDE2EA"/>
      <w:spacing w:before="100" w:beforeAutospacing="1" w:after="100" w:afterAutospacing="1"/>
    </w:pPr>
  </w:style>
  <w:style w:type="paragraph" w:customStyle="1" w:styleId="60">
    <w:name w:val="jtanks_right_luntan_nei2"/>
    <w:basedOn w:val="1"/>
    <w:uiPriority w:val="0"/>
    <w:pPr>
      <w:pBdr>
        <w:top w:val="single" w:color="206F96" w:sz="12" w:space="0"/>
      </w:pBdr>
      <w:shd w:val="clear" w:color="auto" w:fill="F3F9FF"/>
      <w:spacing w:before="100" w:beforeAutospacing="1" w:after="100" w:afterAutospacing="1"/>
    </w:pPr>
  </w:style>
  <w:style w:type="paragraph" w:customStyle="1" w:styleId="61">
    <w:name w:val="jtanks_right_luntan_nei3"/>
    <w:basedOn w:val="1"/>
    <w:uiPriority w:val="0"/>
    <w:pPr>
      <w:pBdr>
        <w:top w:val="single" w:color="206F96" w:sz="6" w:space="0"/>
      </w:pBdr>
      <w:shd w:val="clear" w:color="auto" w:fill="F3F9FF"/>
      <w:spacing w:before="100" w:beforeAutospacing="1" w:after="100" w:afterAutospacing="1"/>
    </w:pPr>
  </w:style>
  <w:style w:type="paragraph" w:customStyle="1" w:styleId="62">
    <w:name w:val="jtanks_right_luntan_nei4"/>
    <w:basedOn w:val="1"/>
    <w:uiPriority w:val="0"/>
    <w:pPr>
      <w:pBdr>
        <w:top w:val="single" w:color="206F96" w:sz="6" w:space="0"/>
        <w:left w:val="single" w:color="206F96" w:sz="6" w:space="0"/>
        <w:bottom w:val="single" w:color="206F96" w:sz="6" w:space="0"/>
        <w:right w:val="single" w:color="206F96" w:sz="6" w:space="0"/>
      </w:pBdr>
      <w:shd w:val="clear" w:color="auto" w:fill="F3F9FF"/>
      <w:spacing w:before="100" w:beforeAutospacing="1" w:after="100" w:afterAutospacing="1"/>
    </w:pPr>
  </w:style>
  <w:style w:type="paragraph" w:customStyle="1" w:styleId="63">
    <w:name w:val="top_nei2"/>
    <w:basedOn w:val="1"/>
    <w:uiPriority w:val="0"/>
    <w:pPr>
      <w:pBdr>
        <w:top w:val="single" w:color="659606" w:sz="6" w:space="0"/>
        <w:left w:val="single" w:color="659606" w:sz="6" w:space="8"/>
        <w:bottom w:val="single" w:color="659606" w:sz="6" w:space="4"/>
        <w:right w:val="single" w:color="659606" w:sz="6" w:space="4"/>
      </w:pBdr>
      <w:spacing w:before="100" w:beforeAutospacing="1" w:after="100" w:afterAutospacing="1"/>
    </w:pPr>
  </w:style>
  <w:style w:type="paragraph" w:customStyle="1" w:styleId="64">
    <w:name w:val="jtanks_right_luntan_nei01"/>
    <w:basedOn w:val="1"/>
    <w:uiPriority w:val="0"/>
    <w:pPr>
      <w:spacing w:before="100" w:beforeAutospacing="1" w:after="100" w:afterAutospacing="1"/>
    </w:pPr>
  </w:style>
  <w:style w:type="paragraph" w:customStyle="1" w:styleId="65">
    <w:name w:val="jtanks_right_luntan_nei01_top"/>
    <w:basedOn w:val="1"/>
    <w:uiPriority w:val="0"/>
    <w:pPr>
      <w:spacing w:before="100" w:beforeAutospacing="1" w:after="100" w:afterAutospacing="1"/>
    </w:pPr>
  </w:style>
  <w:style w:type="paragraph" w:customStyle="1" w:styleId="66">
    <w:name w:val="jtanks_right_luntan_nei01_xia"/>
    <w:basedOn w:val="1"/>
    <w:uiPriority w:val="0"/>
    <w:pPr>
      <w:spacing w:before="100" w:beforeAutospacing="1" w:after="100" w:afterAutospacing="1"/>
    </w:pPr>
  </w:style>
  <w:style w:type="paragraph" w:customStyle="1" w:styleId="67">
    <w:name w:val="yx_right_xia"/>
    <w:basedOn w:val="1"/>
    <w:uiPriority w:val="0"/>
    <w:pPr>
      <w:spacing w:before="100" w:beforeAutospacing="1" w:after="100" w:afterAutospacing="1"/>
    </w:pPr>
  </w:style>
  <w:style w:type="paragraph" w:customStyle="1" w:styleId="68">
    <w:name w:val="yxztc_xia"/>
    <w:basedOn w:val="1"/>
    <w:uiPriority w:val="0"/>
    <w:pPr>
      <w:shd w:val="clear" w:color="auto" w:fill="FFFFFF"/>
      <w:spacing w:before="100" w:beforeAutospacing="1" w:after="100" w:afterAutospacing="1"/>
    </w:pPr>
  </w:style>
  <w:style w:type="paragraph" w:customStyle="1" w:styleId="69">
    <w:name w:val="xin_jaxc"/>
    <w:basedOn w:val="1"/>
    <w:uiPriority w:val="0"/>
  </w:style>
  <w:style w:type="paragraph" w:customStyle="1" w:styleId="70">
    <w:name w:val="xin_jaxc_links"/>
    <w:basedOn w:val="1"/>
    <w:uiPriority w:val="0"/>
  </w:style>
  <w:style w:type="paragraph" w:customStyle="1" w:styleId="71">
    <w:name w:val="xin_jaxch"/>
    <w:basedOn w:val="1"/>
    <w:uiPriority w:val="0"/>
  </w:style>
  <w:style w:type="paragraph" w:customStyle="1" w:styleId="72">
    <w:name w:val="ma-4"/>
    <w:basedOn w:val="1"/>
    <w:uiPriority w:val="0"/>
    <w:pPr>
      <w:ind w:left="-60" w:right="-60"/>
    </w:pPr>
  </w:style>
  <w:style w:type="paragraph" w:customStyle="1" w:styleId="73">
    <w:name w:val="mt-4"/>
    <w:basedOn w:val="1"/>
    <w:uiPriority w:val="0"/>
    <w:pPr>
      <w:spacing w:after="100" w:afterAutospacing="1"/>
    </w:pPr>
  </w:style>
  <w:style w:type="paragraph" w:customStyle="1" w:styleId="74">
    <w:name w:val="mr-4"/>
    <w:basedOn w:val="1"/>
    <w:uiPriority w:val="0"/>
    <w:pPr>
      <w:spacing w:before="100" w:beforeAutospacing="1" w:after="100" w:afterAutospacing="1"/>
      <w:ind w:right="-60"/>
    </w:pPr>
  </w:style>
  <w:style w:type="paragraph" w:customStyle="1" w:styleId="75">
    <w:name w:val="mb-4"/>
    <w:basedOn w:val="1"/>
    <w:uiPriority w:val="0"/>
    <w:pPr>
      <w:spacing w:before="100" w:beforeAutospacing="1"/>
    </w:pPr>
  </w:style>
  <w:style w:type="paragraph" w:customStyle="1" w:styleId="76">
    <w:name w:val="ml-4"/>
    <w:basedOn w:val="1"/>
    <w:uiPriority w:val="0"/>
    <w:pPr>
      <w:spacing w:before="100" w:beforeAutospacing="1" w:after="100" w:afterAutospacing="1"/>
      <w:ind w:left="-60"/>
    </w:pPr>
  </w:style>
  <w:style w:type="paragraph" w:customStyle="1" w:styleId="77">
    <w:name w:val="ma3"/>
    <w:basedOn w:val="1"/>
    <w:uiPriority w:val="0"/>
    <w:pPr>
      <w:spacing w:before="45" w:after="45"/>
      <w:ind w:left="45" w:right="45"/>
    </w:pPr>
  </w:style>
  <w:style w:type="paragraph" w:customStyle="1" w:styleId="78">
    <w:name w:val="mt3"/>
    <w:basedOn w:val="1"/>
    <w:uiPriority w:val="0"/>
    <w:pPr>
      <w:spacing w:before="45" w:after="100" w:afterAutospacing="1"/>
    </w:pPr>
  </w:style>
  <w:style w:type="paragraph" w:customStyle="1" w:styleId="79">
    <w:name w:val="mr3"/>
    <w:basedOn w:val="1"/>
    <w:uiPriority w:val="0"/>
    <w:pPr>
      <w:spacing w:before="100" w:beforeAutospacing="1" w:after="100" w:afterAutospacing="1"/>
      <w:ind w:right="45"/>
    </w:pPr>
  </w:style>
  <w:style w:type="paragraph" w:customStyle="1" w:styleId="80">
    <w:name w:val="mb3"/>
    <w:basedOn w:val="1"/>
    <w:uiPriority w:val="0"/>
    <w:pPr>
      <w:spacing w:before="100" w:beforeAutospacing="1" w:after="45"/>
    </w:pPr>
  </w:style>
  <w:style w:type="paragraph" w:customStyle="1" w:styleId="81">
    <w:name w:val="ml3"/>
    <w:basedOn w:val="1"/>
    <w:uiPriority w:val="0"/>
    <w:pPr>
      <w:spacing w:before="100" w:beforeAutospacing="1" w:after="100" w:afterAutospacing="1"/>
      <w:ind w:left="45"/>
    </w:pPr>
  </w:style>
  <w:style w:type="paragraph" w:customStyle="1" w:styleId="82">
    <w:name w:val="ma4"/>
    <w:basedOn w:val="1"/>
    <w:uiPriority w:val="0"/>
    <w:pPr>
      <w:spacing w:before="60" w:after="60"/>
      <w:ind w:left="60" w:right="60"/>
    </w:pPr>
  </w:style>
  <w:style w:type="paragraph" w:customStyle="1" w:styleId="83">
    <w:name w:val="mt4"/>
    <w:basedOn w:val="1"/>
    <w:uiPriority w:val="0"/>
    <w:pPr>
      <w:spacing w:before="60" w:after="100" w:afterAutospacing="1"/>
    </w:pPr>
  </w:style>
  <w:style w:type="paragraph" w:customStyle="1" w:styleId="84">
    <w:name w:val="mr4"/>
    <w:basedOn w:val="1"/>
    <w:uiPriority w:val="0"/>
    <w:pPr>
      <w:spacing w:before="100" w:beforeAutospacing="1" w:after="100" w:afterAutospacing="1"/>
      <w:ind w:right="60"/>
    </w:pPr>
  </w:style>
  <w:style w:type="paragraph" w:customStyle="1" w:styleId="85">
    <w:name w:val="mb4"/>
    <w:basedOn w:val="1"/>
    <w:uiPriority w:val="0"/>
    <w:pPr>
      <w:spacing w:before="100" w:beforeAutospacing="1" w:after="60"/>
    </w:pPr>
  </w:style>
  <w:style w:type="paragraph" w:customStyle="1" w:styleId="86">
    <w:name w:val="ml4"/>
    <w:basedOn w:val="1"/>
    <w:uiPriority w:val="0"/>
    <w:pPr>
      <w:spacing w:before="100" w:beforeAutospacing="1" w:after="100" w:afterAutospacing="1"/>
      <w:ind w:left="60"/>
    </w:pPr>
  </w:style>
  <w:style w:type="paragraph" w:customStyle="1" w:styleId="87">
    <w:name w:val="ma6"/>
    <w:basedOn w:val="1"/>
    <w:uiPriority w:val="0"/>
    <w:pPr>
      <w:spacing w:before="90" w:after="90"/>
      <w:ind w:left="90" w:right="90"/>
    </w:pPr>
  </w:style>
  <w:style w:type="paragraph" w:customStyle="1" w:styleId="88">
    <w:name w:val="mt6"/>
    <w:basedOn w:val="1"/>
    <w:uiPriority w:val="0"/>
    <w:pPr>
      <w:spacing w:before="90" w:after="100" w:afterAutospacing="1"/>
    </w:pPr>
  </w:style>
  <w:style w:type="paragraph" w:customStyle="1" w:styleId="89">
    <w:name w:val="mr6"/>
    <w:basedOn w:val="1"/>
    <w:uiPriority w:val="0"/>
    <w:pPr>
      <w:spacing w:before="100" w:beforeAutospacing="1" w:after="100" w:afterAutospacing="1"/>
      <w:ind w:right="90"/>
    </w:pPr>
  </w:style>
  <w:style w:type="paragraph" w:customStyle="1" w:styleId="90">
    <w:name w:val="mb6"/>
    <w:basedOn w:val="1"/>
    <w:uiPriority w:val="0"/>
    <w:pPr>
      <w:spacing w:before="100" w:beforeAutospacing="1" w:after="90"/>
    </w:pPr>
  </w:style>
  <w:style w:type="paragraph" w:customStyle="1" w:styleId="91">
    <w:name w:val="ml6"/>
    <w:basedOn w:val="1"/>
    <w:uiPriority w:val="0"/>
    <w:pPr>
      <w:spacing w:before="100" w:beforeAutospacing="1" w:after="100" w:afterAutospacing="1"/>
      <w:ind w:left="90"/>
    </w:pPr>
  </w:style>
  <w:style w:type="paragraph" w:customStyle="1" w:styleId="92">
    <w:name w:val="ma9"/>
    <w:basedOn w:val="1"/>
    <w:uiPriority w:val="0"/>
    <w:pPr>
      <w:spacing w:before="135" w:after="135"/>
      <w:ind w:left="135" w:right="135"/>
    </w:pPr>
  </w:style>
  <w:style w:type="paragraph" w:customStyle="1" w:styleId="93">
    <w:name w:val="mt9"/>
    <w:basedOn w:val="1"/>
    <w:uiPriority w:val="0"/>
    <w:pPr>
      <w:spacing w:before="135" w:after="100" w:afterAutospacing="1"/>
    </w:pPr>
  </w:style>
  <w:style w:type="paragraph" w:customStyle="1" w:styleId="94">
    <w:name w:val="mr9"/>
    <w:basedOn w:val="1"/>
    <w:uiPriority w:val="0"/>
    <w:pPr>
      <w:spacing w:before="100" w:beforeAutospacing="1" w:after="100" w:afterAutospacing="1"/>
      <w:ind w:right="135"/>
    </w:pPr>
  </w:style>
  <w:style w:type="paragraph" w:customStyle="1" w:styleId="95">
    <w:name w:val="mb9"/>
    <w:basedOn w:val="1"/>
    <w:uiPriority w:val="0"/>
    <w:pPr>
      <w:spacing w:before="100" w:beforeAutospacing="1" w:after="135"/>
    </w:pPr>
  </w:style>
  <w:style w:type="paragraph" w:customStyle="1" w:styleId="96">
    <w:name w:val="ml9"/>
    <w:basedOn w:val="1"/>
    <w:uiPriority w:val="0"/>
    <w:pPr>
      <w:spacing w:before="100" w:beforeAutospacing="1" w:after="100" w:afterAutospacing="1"/>
      <w:ind w:left="135"/>
    </w:pPr>
  </w:style>
  <w:style w:type="paragraph" w:customStyle="1" w:styleId="97">
    <w:name w:val="ma12"/>
    <w:basedOn w:val="1"/>
    <w:uiPriority w:val="0"/>
    <w:pPr>
      <w:spacing w:before="180" w:after="180"/>
      <w:ind w:left="180" w:right="180"/>
    </w:pPr>
  </w:style>
  <w:style w:type="paragraph" w:customStyle="1" w:styleId="98">
    <w:name w:val="mt12"/>
    <w:basedOn w:val="1"/>
    <w:uiPriority w:val="0"/>
    <w:pPr>
      <w:spacing w:before="180" w:after="100" w:afterAutospacing="1"/>
    </w:pPr>
  </w:style>
  <w:style w:type="paragraph" w:customStyle="1" w:styleId="99">
    <w:name w:val="mr12"/>
    <w:basedOn w:val="1"/>
    <w:uiPriority w:val="0"/>
    <w:pPr>
      <w:spacing w:before="100" w:beforeAutospacing="1" w:after="100" w:afterAutospacing="1"/>
      <w:ind w:right="180"/>
    </w:pPr>
  </w:style>
  <w:style w:type="paragraph" w:customStyle="1" w:styleId="100">
    <w:name w:val="mb12"/>
    <w:basedOn w:val="1"/>
    <w:uiPriority w:val="0"/>
    <w:pPr>
      <w:spacing w:before="100" w:beforeAutospacing="1" w:after="180"/>
    </w:pPr>
  </w:style>
  <w:style w:type="paragraph" w:customStyle="1" w:styleId="101">
    <w:name w:val="ml12"/>
    <w:basedOn w:val="1"/>
    <w:uiPriority w:val="0"/>
    <w:pPr>
      <w:spacing w:before="100" w:beforeAutospacing="1" w:after="100" w:afterAutospacing="1"/>
      <w:ind w:left="180"/>
    </w:pPr>
  </w:style>
  <w:style w:type="paragraph" w:customStyle="1" w:styleId="102">
    <w:name w:val="ma22"/>
    <w:basedOn w:val="1"/>
    <w:uiPriority w:val="0"/>
    <w:pPr>
      <w:spacing w:before="330" w:after="330"/>
      <w:ind w:left="330" w:right="330"/>
    </w:pPr>
  </w:style>
  <w:style w:type="paragraph" w:customStyle="1" w:styleId="103">
    <w:name w:val="mt22"/>
    <w:basedOn w:val="1"/>
    <w:uiPriority w:val="0"/>
    <w:pPr>
      <w:spacing w:before="330" w:after="100" w:afterAutospacing="1"/>
    </w:pPr>
  </w:style>
  <w:style w:type="paragraph" w:customStyle="1" w:styleId="104">
    <w:name w:val="mr22"/>
    <w:basedOn w:val="1"/>
    <w:uiPriority w:val="0"/>
    <w:pPr>
      <w:spacing w:before="100" w:beforeAutospacing="1" w:after="100" w:afterAutospacing="1"/>
      <w:ind w:right="330"/>
    </w:pPr>
  </w:style>
  <w:style w:type="paragraph" w:customStyle="1" w:styleId="105">
    <w:name w:val="mb22"/>
    <w:basedOn w:val="1"/>
    <w:uiPriority w:val="0"/>
    <w:pPr>
      <w:spacing w:before="100" w:beforeAutospacing="1" w:after="330"/>
    </w:pPr>
  </w:style>
  <w:style w:type="paragraph" w:customStyle="1" w:styleId="106">
    <w:name w:val="ml22"/>
    <w:basedOn w:val="1"/>
    <w:uiPriority w:val="0"/>
    <w:pPr>
      <w:spacing w:before="100" w:beforeAutospacing="1" w:after="100" w:afterAutospacing="1"/>
      <w:ind w:left="330"/>
    </w:pPr>
  </w:style>
  <w:style w:type="paragraph" w:customStyle="1" w:styleId="107">
    <w:name w:val="interval"/>
    <w:basedOn w:val="1"/>
    <w:uiPriority w:val="0"/>
    <w:pPr>
      <w:spacing w:before="100" w:beforeAutospacing="1" w:after="165"/>
    </w:pPr>
  </w:style>
  <w:style w:type="paragraph" w:customStyle="1" w:styleId="108">
    <w:name w:val="interval-solid"/>
    <w:basedOn w:val="1"/>
    <w:uiPriority w:val="0"/>
    <w:pPr>
      <w:pBdr>
        <w:bottom w:val="single" w:color="E3E6EB" w:sz="6" w:space="0"/>
      </w:pBdr>
      <w:spacing w:before="100" w:beforeAutospacing="1" w:after="90"/>
    </w:pPr>
  </w:style>
  <w:style w:type="paragraph" w:customStyle="1" w:styleId="109">
    <w:name w:val="interval-dot"/>
    <w:basedOn w:val="1"/>
    <w:uiPriority w:val="0"/>
    <w:pPr>
      <w:pBdr>
        <w:bottom w:val="dotted" w:color="C1C1C1" w:sz="6" w:space="0"/>
      </w:pBdr>
      <w:spacing w:before="100" w:beforeAutospacing="1" w:after="90"/>
    </w:pPr>
  </w:style>
  <w:style w:type="paragraph" w:customStyle="1" w:styleId="110">
    <w:name w:val="head"/>
    <w:basedOn w:val="1"/>
    <w:uiPriority w:val="0"/>
    <w:pPr>
      <w:shd w:val="clear" w:color="auto" w:fill="FFFFFF"/>
      <w:spacing w:after="300"/>
    </w:pPr>
  </w:style>
  <w:style w:type="paragraph" w:customStyle="1" w:styleId="111">
    <w:name w:val="content"/>
    <w:basedOn w:val="1"/>
    <w:uiPriority w:val="0"/>
  </w:style>
  <w:style w:type="paragraph" w:customStyle="1" w:styleId="112">
    <w:name w:val="footer1"/>
    <w:basedOn w:val="1"/>
    <w:uiPriority w:val="0"/>
  </w:style>
  <w:style w:type="paragraph" w:customStyle="1" w:styleId="113">
    <w:name w:val="area"/>
    <w:basedOn w:val="1"/>
    <w:uiPriority w:val="0"/>
    <w:pPr>
      <w:spacing w:after="180"/>
    </w:pPr>
  </w:style>
  <w:style w:type="paragraph" w:customStyle="1" w:styleId="114">
    <w:name w:val="area-main"/>
    <w:basedOn w:val="1"/>
    <w:uiPriority w:val="0"/>
    <w:pPr>
      <w:spacing w:before="100" w:beforeAutospacing="1" w:after="100" w:afterAutospacing="1"/>
    </w:pPr>
  </w:style>
  <w:style w:type="paragraph" w:customStyle="1" w:styleId="115">
    <w:name w:val="main-con"/>
    <w:basedOn w:val="1"/>
    <w:uiPriority w:val="0"/>
    <w:pPr>
      <w:spacing w:before="100" w:beforeAutospacing="1" w:after="100" w:afterAutospacing="1"/>
      <w:ind w:right="300"/>
    </w:pPr>
  </w:style>
  <w:style w:type="paragraph" w:customStyle="1" w:styleId="116">
    <w:name w:val="area-sub"/>
    <w:basedOn w:val="1"/>
    <w:uiPriority w:val="0"/>
    <w:pPr>
      <w:spacing w:before="100" w:beforeAutospacing="1" w:after="100" w:afterAutospacing="1"/>
    </w:pPr>
  </w:style>
  <w:style w:type="paragraph" w:customStyle="1" w:styleId="117">
    <w:name w:val="ui-style-gradient"/>
    <w:basedOn w:val="1"/>
    <w:uiPriority w:val="0"/>
    <w:pPr>
      <w:pBdr>
        <w:top w:val="single" w:color="206F96" w:sz="12" w:space="0"/>
      </w:pBdr>
      <w:spacing w:before="100" w:beforeAutospacing="1" w:after="100" w:afterAutospacing="1"/>
    </w:pPr>
  </w:style>
  <w:style w:type="paragraph" w:customStyle="1" w:styleId="118">
    <w:name w:val="entry-m-ios"/>
    <w:basedOn w:val="1"/>
    <w:uiPriority w:val="0"/>
    <w:pPr>
      <w:spacing w:before="100" w:beforeAutospacing="1" w:after="100" w:afterAutospacing="1"/>
    </w:pPr>
  </w:style>
  <w:style w:type="paragraph" w:customStyle="1" w:styleId="119">
    <w:name w:val="entry-m-android"/>
    <w:basedOn w:val="1"/>
    <w:uiPriority w:val="0"/>
    <w:pPr>
      <w:spacing w:before="100" w:beforeAutospacing="1" w:after="100" w:afterAutospacing="1"/>
    </w:pPr>
  </w:style>
  <w:style w:type="paragraph" w:customStyle="1" w:styleId="120">
    <w:name w:val="tab-hd-con"/>
    <w:basedOn w:val="1"/>
    <w:uiPriority w:val="0"/>
    <w:pPr>
      <w:spacing w:before="100" w:beforeAutospacing="1" w:after="100" w:afterAutospacing="1"/>
      <w:jc w:val="center"/>
    </w:pPr>
    <w:rPr>
      <w:sz w:val="21"/>
      <w:szCs w:val="21"/>
    </w:rPr>
  </w:style>
  <w:style w:type="paragraph" w:customStyle="1" w:styleId="121">
    <w:name w:val="tab-bd-con"/>
    <w:basedOn w:val="1"/>
    <w:uiPriority w:val="0"/>
    <w:pPr>
      <w:spacing w:before="100" w:beforeAutospacing="1" w:after="100" w:afterAutospacing="1"/>
    </w:pPr>
    <w:rPr>
      <w:vanish/>
    </w:rPr>
  </w:style>
  <w:style w:type="paragraph" w:customStyle="1" w:styleId="122">
    <w:name w:val="tab-ft"/>
    <w:basedOn w:val="1"/>
    <w:uiPriority w:val="0"/>
    <w:pPr>
      <w:spacing w:before="120" w:after="100" w:afterAutospacing="1" w:line="300" w:lineRule="atLeast"/>
      <w:jc w:val="right"/>
    </w:pPr>
    <w:rPr>
      <w:color w:val="C1C1C1"/>
    </w:rPr>
  </w:style>
  <w:style w:type="paragraph" w:customStyle="1" w:styleId="123">
    <w:name w:val="hide"/>
    <w:basedOn w:val="1"/>
    <w:uiPriority w:val="0"/>
    <w:pPr>
      <w:spacing w:before="100" w:beforeAutospacing="1" w:after="100" w:afterAutospacing="1"/>
    </w:pPr>
    <w:rPr>
      <w:vanish/>
    </w:rPr>
  </w:style>
  <w:style w:type="paragraph" w:customStyle="1" w:styleId="124">
    <w:name w:val="clearfix"/>
    <w:basedOn w:val="1"/>
    <w:uiPriority w:val="0"/>
    <w:pPr>
      <w:spacing w:before="100" w:beforeAutospacing="1" w:after="100" w:afterAutospacing="1"/>
    </w:pPr>
  </w:style>
  <w:style w:type="paragraph" w:customStyle="1" w:styleId="125">
    <w:name w:val="article_main"/>
    <w:basedOn w:val="1"/>
    <w:uiPriority w:val="0"/>
    <w:pPr>
      <w:shd w:val="clear" w:color="auto" w:fill="F4F6F6"/>
      <w:spacing w:after="300"/>
    </w:pPr>
  </w:style>
  <w:style w:type="paragraph" w:customStyle="1" w:styleId="126">
    <w:name w:val="article_main_page"/>
    <w:basedOn w:val="1"/>
    <w:uiPriority w:val="0"/>
    <w:pPr>
      <w:shd w:val="clear" w:color="auto" w:fill="F4F6F6"/>
      <w:spacing w:after="300"/>
    </w:pPr>
  </w:style>
  <w:style w:type="paragraph" w:customStyle="1" w:styleId="127">
    <w:name w:val="article_content"/>
    <w:basedOn w:val="1"/>
    <w:uiPriority w:val="0"/>
    <w:pPr>
      <w:pBdr>
        <w:top w:val="single" w:color="D4D7DC" w:sz="6" w:space="0"/>
        <w:left w:val="single" w:color="D4D7DC" w:sz="6" w:space="0"/>
        <w:bottom w:val="single" w:color="D4D7DC" w:sz="6" w:space="0"/>
        <w:right w:val="single" w:color="D4D7DC" w:sz="6" w:space="0"/>
      </w:pBdr>
      <w:spacing w:before="100" w:beforeAutospacing="1" w:after="100" w:afterAutospacing="1"/>
    </w:pPr>
  </w:style>
  <w:style w:type="paragraph" w:customStyle="1" w:styleId="128">
    <w:name w:val="article_head"/>
    <w:basedOn w:val="1"/>
    <w:uiPriority w:val="0"/>
    <w:pPr>
      <w:pBdr>
        <w:bottom w:val="single" w:color="D4D7DC" w:sz="6" w:space="0"/>
      </w:pBdr>
      <w:spacing w:before="100" w:beforeAutospacing="1" w:after="100" w:afterAutospacing="1" w:line="600" w:lineRule="atLeast"/>
    </w:pPr>
  </w:style>
  <w:style w:type="paragraph" w:customStyle="1" w:styleId="129">
    <w:name w:val="article_headcjcx"/>
    <w:basedOn w:val="1"/>
    <w:uiPriority w:val="0"/>
    <w:pPr>
      <w:pBdr>
        <w:bottom w:val="single" w:color="D4D7DC" w:sz="6" w:space="0"/>
      </w:pBdr>
      <w:spacing w:before="100" w:beforeAutospacing="1" w:after="100" w:afterAutospacing="1" w:line="1050" w:lineRule="atLeast"/>
    </w:pPr>
  </w:style>
  <w:style w:type="paragraph" w:customStyle="1" w:styleId="130">
    <w:name w:val="article_xx"/>
    <w:basedOn w:val="1"/>
    <w:uiPriority w:val="0"/>
    <w:pPr>
      <w:spacing w:before="100" w:beforeAutospacing="1" w:after="100" w:afterAutospacing="1"/>
    </w:pPr>
  </w:style>
  <w:style w:type="paragraph" w:customStyle="1" w:styleId="131">
    <w:name w:val="article_info"/>
    <w:basedOn w:val="1"/>
    <w:uiPriority w:val="0"/>
    <w:pPr>
      <w:pBdr>
        <w:bottom w:val="dashed" w:color="ADBCDB" w:sz="6" w:space="8"/>
      </w:pBdr>
      <w:spacing w:before="100" w:beforeAutospacing="1" w:after="225"/>
      <w:jc w:val="center"/>
    </w:pPr>
    <w:rPr>
      <w:rFonts w:ascii="微软雅黑" w:hAnsi="微软雅黑" w:eastAsia="微软雅黑"/>
      <w:color w:val="898989"/>
      <w:sz w:val="18"/>
      <w:szCs w:val="18"/>
    </w:rPr>
  </w:style>
  <w:style w:type="paragraph" w:customStyle="1" w:styleId="132">
    <w:name w:val="article_page"/>
    <w:basedOn w:val="1"/>
    <w:uiPriority w:val="0"/>
    <w:pPr>
      <w:pBdr>
        <w:top w:val="single" w:color="CBD1D9" w:sz="6" w:space="11"/>
      </w:pBdr>
      <w:spacing w:before="225" w:after="100" w:afterAutospacing="1"/>
      <w:jc w:val="right"/>
    </w:pPr>
    <w:rPr>
      <w:color w:val="9FA7B0"/>
    </w:rPr>
  </w:style>
  <w:style w:type="paragraph" w:customStyle="1" w:styleId="133">
    <w:name w:val="newsbody_class"/>
    <w:basedOn w:val="1"/>
    <w:uiPriority w:val="0"/>
    <w:pPr>
      <w:pBdr>
        <w:top w:val="single" w:color="FFFFFF" w:sz="6" w:space="0"/>
        <w:bottom w:val="single" w:color="E3ECEE" w:sz="6" w:space="0"/>
      </w:pBdr>
      <w:shd w:val="clear" w:color="auto" w:fill="FFFFFF"/>
      <w:spacing w:before="100" w:beforeAutospacing="1" w:after="100" w:afterAutospacing="1" w:line="375" w:lineRule="atLeast"/>
    </w:pPr>
  </w:style>
  <w:style w:type="paragraph" w:customStyle="1" w:styleId="134">
    <w:name w:val="article_main_jgsz"/>
    <w:basedOn w:val="1"/>
    <w:uiPriority w:val="0"/>
    <w:pPr>
      <w:shd w:val="clear" w:color="auto" w:fill="F4F6F6"/>
      <w:spacing w:after="300"/>
    </w:pPr>
  </w:style>
  <w:style w:type="paragraph" w:customStyle="1" w:styleId="135">
    <w:name w:val="newsbody_class_jgsz"/>
    <w:basedOn w:val="1"/>
    <w:uiPriority w:val="0"/>
    <w:pPr>
      <w:pBdr>
        <w:top w:val="single" w:color="FFFFFF" w:sz="6" w:space="0"/>
        <w:bottom w:val="single" w:color="E3ECEE" w:sz="6" w:space="0"/>
      </w:pBdr>
      <w:shd w:val="clear" w:color="auto" w:fill="FFFFFF"/>
      <w:spacing w:before="100" w:beforeAutospacing="1" w:after="100" w:afterAutospacing="1" w:line="450" w:lineRule="atLeast"/>
    </w:pPr>
  </w:style>
  <w:style w:type="paragraph" w:customStyle="1" w:styleId="136">
    <w:name w:val="newsbody_class_zxld"/>
    <w:basedOn w:val="1"/>
    <w:uiPriority w:val="0"/>
    <w:pPr>
      <w:pBdr>
        <w:top w:val="single" w:color="FFFFFF" w:sz="6" w:space="0"/>
        <w:bottom w:val="single" w:color="E3ECEE" w:sz="6" w:space="0"/>
      </w:pBdr>
      <w:shd w:val="clear" w:color="auto" w:fill="FFFFFF"/>
      <w:spacing w:before="100" w:beforeAutospacing="1" w:after="100" w:afterAutospacing="1" w:line="450" w:lineRule="atLeast"/>
    </w:pPr>
  </w:style>
  <w:style w:type="paragraph" w:customStyle="1" w:styleId="137">
    <w:name w:val="article_xx1"/>
    <w:basedOn w:val="1"/>
    <w:uiPriority w:val="0"/>
    <w:pPr>
      <w:spacing w:before="100" w:beforeAutospacing="1" w:after="100" w:afterAutospacing="1"/>
    </w:pPr>
  </w:style>
  <w:style w:type="paragraph" w:customStyle="1" w:styleId="138">
    <w:name w:val="mailtable"/>
    <w:basedOn w:val="1"/>
    <w:uiPriority w:val="0"/>
    <w:pPr>
      <w:shd w:val="clear" w:color="auto" w:fill="82BCF0"/>
      <w:spacing w:before="150" w:after="100" w:afterAutospacing="1"/>
    </w:pPr>
    <w:rPr>
      <w:sz w:val="21"/>
      <w:szCs w:val="21"/>
    </w:rPr>
  </w:style>
  <w:style w:type="paragraph" w:customStyle="1" w:styleId="139">
    <w:name w:val="mailtop1"/>
    <w:basedOn w:val="1"/>
    <w:uiPriority w:val="0"/>
    <w:pPr>
      <w:shd w:val="clear" w:color="auto" w:fill="99CCFF"/>
      <w:spacing w:before="100" w:beforeAutospacing="1" w:after="100" w:afterAutospacing="1"/>
    </w:pPr>
  </w:style>
  <w:style w:type="paragraph" w:customStyle="1" w:styleId="140">
    <w:name w:val="mailbody1"/>
    <w:basedOn w:val="1"/>
    <w:uiPriority w:val="0"/>
    <w:pPr>
      <w:spacing w:before="100" w:beforeAutospacing="1" w:after="100" w:afterAutospacing="1" w:line="270" w:lineRule="atLeast"/>
    </w:pPr>
  </w:style>
  <w:style w:type="paragraph" w:customStyle="1" w:styleId="141">
    <w:name w:val="mailbody2"/>
    <w:basedOn w:val="1"/>
    <w:uiPriority w:val="0"/>
    <w:pPr>
      <w:shd w:val="clear" w:color="auto" w:fill="FFFFFF"/>
      <w:spacing w:before="100" w:beforeAutospacing="1" w:after="100" w:afterAutospacing="1"/>
    </w:pPr>
  </w:style>
  <w:style w:type="paragraph" w:customStyle="1" w:styleId="142">
    <w:name w:val="mail_article_info"/>
    <w:basedOn w:val="1"/>
    <w:uiPriority w:val="0"/>
    <w:pPr>
      <w:pBdr>
        <w:bottom w:val="dashed" w:color="B1BCCD" w:sz="6" w:space="0"/>
      </w:pBdr>
      <w:spacing w:before="100" w:beforeAutospacing="1"/>
    </w:pPr>
  </w:style>
  <w:style w:type="paragraph" w:customStyle="1" w:styleId="143">
    <w:name w:val="mail_article_info1"/>
    <w:basedOn w:val="1"/>
    <w:uiPriority w:val="0"/>
    <w:pPr>
      <w:pBdr>
        <w:bottom w:val="dashed" w:color="ADBCDB" w:sz="6" w:space="0"/>
      </w:pBdr>
      <w:spacing w:before="100" w:beforeAutospacing="1"/>
      <w:jc w:val="center"/>
    </w:pPr>
    <w:rPr>
      <w:color w:val="898989"/>
    </w:rPr>
  </w:style>
  <w:style w:type="paragraph" w:customStyle="1" w:styleId="144">
    <w:name w:val="mail_article_info2"/>
    <w:basedOn w:val="1"/>
    <w:uiPriority w:val="0"/>
    <w:pPr>
      <w:pBdr>
        <w:top w:val="dashed" w:color="B1BCCD" w:sz="6" w:space="4"/>
      </w:pBdr>
      <w:spacing w:before="100" w:beforeAutospacing="1"/>
    </w:pPr>
  </w:style>
  <w:style w:type="paragraph" w:customStyle="1" w:styleId="145">
    <w:name w:val="mailbody3"/>
    <w:basedOn w:val="1"/>
    <w:uiPriority w:val="0"/>
    <w:pPr>
      <w:spacing w:before="100" w:beforeAutospacing="1" w:after="100" w:afterAutospacing="1" w:line="300" w:lineRule="atLeast"/>
    </w:pPr>
    <w:rPr>
      <w:b/>
      <w:bCs/>
      <w:color w:val="FF0000"/>
    </w:rPr>
  </w:style>
  <w:style w:type="paragraph" w:customStyle="1" w:styleId="146">
    <w:name w:val="mailbody5"/>
    <w:basedOn w:val="1"/>
    <w:uiPriority w:val="0"/>
    <w:pPr>
      <w:shd w:val="clear" w:color="auto" w:fill="EAEDF2"/>
      <w:spacing w:before="100" w:beforeAutospacing="1" w:after="100" w:afterAutospacing="1"/>
    </w:pPr>
    <w:rPr>
      <w:color w:val="898989"/>
    </w:rPr>
  </w:style>
  <w:style w:type="paragraph" w:customStyle="1" w:styleId="147">
    <w:name w:val="mailbody6"/>
    <w:basedOn w:val="1"/>
    <w:uiPriority w:val="0"/>
    <w:pPr>
      <w:shd w:val="clear" w:color="auto" w:fill="FFFFFF"/>
      <w:spacing w:before="100" w:beforeAutospacing="1" w:after="100" w:afterAutospacing="1"/>
    </w:pPr>
  </w:style>
  <w:style w:type="paragraph" w:customStyle="1" w:styleId="148">
    <w:name w:val="yzm1"/>
    <w:basedOn w:val="1"/>
    <w:uiPriority w:val="0"/>
    <w:pPr>
      <w:spacing w:before="100" w:beforeAutospacing="1" w:after="100" w:afterAutospacing="1" w:line="330" w:lineRule="atLeast"/>
    </w:pPr>
    <w:rPr>
      <w:color w:val="990100"/>
      <w:spacing w:val="15"/>
      <w:sz w:val="21"/>
      <w:szCs w:val="21"/>
    </w:rPr>
  </w:style>
  <w:style w:type="paragraph" w:customStyle="1" w:styleId="149">
    <w:name w:val="back"/>
    <w:basedOn w:val="1"/>
    <w:uiPriority w:val="0"/>
    <w:pPr>
      <w:shd w:val="clear" w:color="auto" w:fill="F3F6E5"/>
      <w:spacing w:before="100" w:beforeAutospacing="1" w:after="100" w:afterAutospacing="1"/>
    </w:pPr>
  </w:style>
  <w:style w:type="paragraph" w:customStyle="1" w:styleId="150">
    <w:name w:val="imgtips"/>
    <w:basedOn w:val="1"/>
    <w:uiPriority w:val="0"/>
    <w:pPr>
      <w:spacing w:before="100" w:beforeAutospacing="1" w:after="100" w:afterAutospacing="1" w:line="360" w:lineRule="atLeast"/>
    </w:pPr>
  </w:style>
  <w:style w:type="paragraph" w:customStyle="1" w:styleId="151">
    <w:name w:val="savearea"/>
    <w:basedOn w:val="1"/>
    <w:uiPriority w:val="0"/>
    <w:pPr>
      <w:shd w:val="clear" w:color="auto" w:fill="FFFFFF"/>
      <w:spacing w:before="100" w:beforeAutospacing="1" w:after="100" w:afterAutospacing="1"/>
    </w:pPr>
  </w:style>
  <w:style w:type="paragraph" w:customStyle="1" w:styleId="152">
    <w:name w:val="buttomstyle"/>
    <w:basedOn w:val="1"/>
    <w:uiPriority w:val="0"/>
    <w:pPr>
      <w:pBdr>
        <w:top w:val="single" w:color="53A8F7" w:sz="6" w:space="0"/>
        <w:left w:val="single" w:color="53A8F7" w:sz="6" w:space="8"/>
        <w:bottom w:val="single" w:color="53A8F7" w:sz="6" w:space="0"/>
        <w:right w:val="single" w:color="53A8F7" w:sz="6" w:space="8"/>
      </w:pBdr>
      <w:shd w:val="clear" w:color="auto" w:fill="4275A3"/>
      <w:spacing w:before="100" w:beforeAutospacing="1" w:after="15" w:line="315" w:lineRule="atLeast"/>
      <w:textAlignment w:val="bottom"/>
    </w:pPr>
    <w:rPr>
      <w:color w:val="FFFFFF"/>
      <w:sz w:val="18"/>
      <w:szCs w:val="18"/>
    </w:rPr>
  </w:style>
  <w:style w:type="paragraph" w:customStyle="1" w:styleId="153">
    <w:name w:val="buttomstylequit"/>
    <w:basedOn w:val="1"/>
    <w:uiPriority w:val="0"/>
    <w:pPr>
      <w:pBdr>
        <w:top w:val="single" w:color="53A8F7" w:sz="6" w:space="0"/>
        <w:left w:val="single" w:color="53A8F7" w:sz="6" w:space="8"/>
        <w:bottom w:val="single" w:color="D7D7D7" w:sz="6" w:space="0"/>
        <w:right w:val="single" w:color="53A8F7" w:sz="6" w:space="8"/>
      </w:pBdr>
      <w:shd w:val="clear" w:color="auto" w:fill="4275A3"/>
      <w:spacing w:before="100" w:beforeAutospacing="1" w:after="15" w:line="315" w:lineRule="atLeast"/>
      <w:textAlignment w:val="bottom"/>
    </w:pPr>
    <w:rPr>
      <w:color w:val="FFFFFF"/>
      <w:sz w:val="18"/>
      <w:szCs w:val="18"/>
    </w:rPr>
  </w:style>
  <w:style w:type="paragraph" w:customStyle="1" w:styleId="154">
    <w:name w:val="buttomstyle_mail"/>
    <w:basedOn w:val="1"/>
    <w:uiPriority w:val="0"/>
    <w:pPr>
      <w:pBdr>
        <w:top w:val="single" w:color="53A8F7" w:sz="6" w:space="0"/>
        <w:left w:val="single" w:color="53A8F7" w:sz="6" w:space="8"/>
        <w:bottom w:val="single" w:color="53A8F7" w:sz="6" w:space="0"/>
        <w:right w:val="single" w:color="53A8F7" w:sz="6" w:space="8"/>
      </w:pBdr>
      <w:shd w:val="clear" w:color="auto" w:fill="4275A3"/>
      <w:spacing w:before="100" w:beforeAutospacing="1" w:after="15" w:line="315" w:lineRule="atLeast"/>
      <w:textAlignment w:val="bottom"/>
    </w:pPr>
    <w:rPr>
      <w:color w:val="FFFFFF"/>
      <w:sz w:val="18"/>
      <w:szCs w:val="18"/>
    </w:rPr>
  </w:style>
  <w:style w:type="paragraph" w:customStyle="1" w:styleId="155">
    <w:name w:val="hang"/>
    <w:basedOn w:val="1"/>
    <w:uiPriority w:val="0"/>
    <w:pPr>
      <w:spacing w:before="100" w:beforeAutospacing="1" w:after="100" w:afterAutospacing="1" w:line="450" w:lineRule="atLeast"/>
    </w:pPr>
    <w:rPr>
      <w:sz w:val="18"/>
      <w:szCs w:val="18"/>
    </w:rPr>
  </w:style>
  <w:style w:type="paragraph" w:customStyle="1" w:styleId="156">
    <w:name w:val="dtnone"/>
    <w:basedOn w:val="1"/>
    <w:uiPriority w:val="0"/>
    <w:pPr>
      <w:spacing w:before="100" w:beforeAutospacing="1" w:after="100" w:afterAutospacing="1"/>
    </w:pPr>
    <w:rPr>
      <w:b/>
      <w:bCs/>
      <w:color w:val="659606"/>
      <w:sz w:val="21"/>
      <w:szCs w:val="21"/>
    </w:rPr>
  </w:style>
  <w:style w:type="paragraph" w:customStyle="1" w:styleId="157">
    <w:name w:val="dtother"/>
    <w:basedOn w:val="1"/>
    <w:uiPriority w:val="0"/>
    <w:pPr>
      <w:spacing w:before="100" w:beforeAutospacing="1" w:after="100" w:afterAutospacing="1"/>
    </w:pPr>
    <w:rPr>
      <w:b/>
      <w:bCs/>
      <w:color w:val="659606"/>
      <w:sz w:val="21"/>
      <w:szCs w:val="21"/>
    </w:rPr>
  </w:style>
  <w:style w:type="paragraph" w:customStyle="1" w:styleId="158">
    <w:name w:val="lanmu-dh-none"/>
    <w:basedOn w:val="1"/>
    <w:uiPriority w:val="0"/>
    <w:pPr>
      <w:spacing w:before="100" w:beforeAutospacing="1" w:after="100" w:afterAutospacing="1"/>
    </w:pPr>
    <w:rPr>
      <w:b/>
      <w:bCs/>
      <w:color w:val="065196"/>
      <w:sz w:val="21"/>
      <w:szCs w:val="21"/>
    </w:rPr>
  </w:style>
  <w:style w:type="paragraph" w:customStyle="1" w:styleId="159">
    <w:name w:val="lanmu-dh-other"/>
    <w:basedOn w:val="1"/>
    <w:uiPriority w:val="0"/>
    <w:pPr>
      <w:spacing w:before="100" w:beforeAutospacing="1" w:after="100" w:afterAutospacing="1"/>
    </w:pPr>
    <w:rPr>
      <w:b/>
      <w:bCs/>
      <w:color w:val="065196"/>
      <w:sz w:val="21"/>
      <w:szCs w:val="21"/>
    </w:rPr>
  </w:style>
  <w:style w:type="paragraph" w:customStyle="1" w:styleId="160">
    <w:name w:val="defu"/>
    <w:basedOn w:val="1"/>
    <w:uiPriority w:val="0"/>
    <w:pPr>
      <w:shd w:val="clear" w:color="auto" w:fill="111111"/>
      <w:spacing w:before="100" w:beforeAutospacing="1" w:after="100" w:afterAutospacing="1"/>
    </w:pPr>
  </w:style>
  <w:style w:type="paragraph" w:customStyle="1" w:styleId="161">
    <w:name w:val="posiabox"/>
    <w:basedOn w:val="1"/>
    <w:uiPriority w:val="0"/>
    <w:pPr>
      <w:spacing w:before="100" w:beforeAutospacing="1" w:after="100" w:afterAutospacing="1"/>
    </w:pPr>
    <w:rPr>
      <w:vanish/>
    </w:rPr>
  </w:style>
  <w:style w:type="paragraph" w:customStyle="1" w:styleId="162">
    <w:name w:val="tab-hd"/>
    <w:basedOn w:val="1"/>
    <w:uiPriority w:val="0"/>
    <w:pPr>
      <w:spacing w:before="100" w:beforeAutospacing="1" w:after="100" w:afterAutospacing="1"/>
    </w:pPr>
  </w:style>
  <w:style w:type="paragraph" w:customStyle="1" w:styleId="163">
    <w:name w:val="box-hd"/>
    <w:basedOn w:val="1"/>
    <w:uiPriority w:val="0"/>
    <w:pPr>
      <w:spacing w:before="100" w:beforeAutospacing="1" w:after="100" w:afterAutospacing="1"/>
    </w:pPr>
  </w:style>
  <w:style w:type="paragraph" w:customStyle="1" w:styleId="164">
    <w:name w:val="current"/>
    <w:basedOn w:val="1"/>
    <w:uiPriority w:val="0"/>
    <w:pPr>
      <w:spacing w:before="100" w:beforeAutospacing="1" w:after="100" w:afterAutospacing="1"/>
    </w:pPr>
  </w:style>
  <w:style w:type="paragraph" w:customStyle="1" w:styleId="165">
    <w:name w:val="tab-bd"/>
    <w:basedOn w:val="1"/>
    <w:uiPriority w:val="0"/>
    <w:pPr>
      <w:spacing w:before="100" w:beforeAutospacing="1" w:after="100" w:afterAutospacing="1"/>
    </w:pPr>
  </w:style>
  <w:style w:type="paragraph" w:customStyle="1" w:styleId="166">
    <w:name w:val="box-bd"/>
    <w:basedOn w:val="1"/>
    <w:uiPriority w:val="0"/>
    <w:pPr>
      <w:spacing w:before="100" w:beforeAutospacing="1" w:after="100" w:afterAutospacing="1"/>
    </w:pPr>
  </w:style>
  <w:style w:type="paragraph" w:customStyle="1" w:styleId="167">
    <w:name w:val="txt"/>
    <w:basedOn w:val="1"/>
    <w:uiPriority w:val="0"/>
    <w:pPr>
      <w:spacing w:before="100" w:beforeAutospacing="1" w:after="100" w:afterAutospacing="1"/>
    </w:pPr>
  </w:style>
  <w:style w:type="paragraph" w:customStyle="1" w:styleId="168">
    <w:name w:val="mod_cate_hd"/>
    <w:basedOn w:val="1"/>
    <w:uiPriority w:val="0"/>
    <w:pPr>
      <w:spacing w:before="100" w:beforeAutospacing="1" w:after="100" w:afterAutospacing="1"/>
    </w:pPr>
  </w:style>
  <w:style w:type="paragraph" w:customStyle="1" w:styleId="169">
    <w:name w:val="mod_cate"/>
    <w:basedOn w:val="1"/>
    <w:uiPriority w:val="0"/>
    <w:pPr>
      <w:spacing w:before="100" w:beforeAutospacing="1" w:after="100" w:afterAutospacing="1"/>
    </w:pPr>
  </w:style>
  <w:style w:type="paragraph" w:customStyle="1" w:styleId="170">
    <w:name w:val="mod_cate2"/>
    <w:basedOn w:val="1"/>
    <w:uiPriority w:val="0"/>
    <w:pPr>
      <w:spacing w:before="100" w:beforeAutospacing="1" w:after="100" w:afterAutospacing="1"/>
    </w:pPr>
  </w:style>
  <w:style w:type="paragraph" w:customStyle="1" w:styleId="171">
    <w:name w:val="mod_cate_r"/>
    <w:basedOn w:val="1"/>
    <w:uiPriority w:val="0"/>
    <w:pPr>
      <w:spacing w:before="100" w:beforeAutospacing="1" w:after="100" w:afterAutospacing="1"/>
    </w:pPr>
  </w:style>
  <w:style w:type="paragraph" w:customStyle="1" w:styleId="172">
    <w:name w:val="mod_subcate"/>
    <w:basedOn w:val="1"/>
    <w:uiPriority w:val="0"/>
    <w:pPr>
      <w:spacing w:before="100" w:beforeAutospacing="1" w:after="100" w:afterAutospacing="1"/>
    </w:pPr>
  </w:style>
  <w:style w:type="paragraph" w:customStyle="1" w:styleId="173">
    <w:name w:val="mod_subcate_main"/>
    <w:basedOn w:val="1"/>
    <w:uiPriority w:val="0"/>
    <w:pPr>
      <w:spacing w:before="100" w:beforeAutospacing="1" w:after="100" w:afterAutospacing="1"/>
    </w:pPr>
  </w:style>
  <w:style w:type="paragraph" w:customStyle="1" w:styleId="174">
    <w:name w:val="mod_subcate_line"/>
    <w:basedOn w:val="1"/>
    <w:uiPriority w:val="0"/>
    <w:pPr>
      <w:spacing w:before="100" w:beforeAutospacing="1" w:after="100" w:afterAutospacing="1"/>
    </w:pPr>
  </w:style>
  <w:style w:type="paragraph" w:customStyle="1" w:styleId="175">
    <w:name w:val="mod_subcate_channel"/>
    <w:basedOn w:val="1"/>
    <w:uiPriority w:val="0"/>
    <w:pPr>
      <w:spacing w:before="100" w:beforeAutospacing="1" w:after="100" w:afterAutospacing="1"/>
    </w:pPr>
  </w:style>
  <w:style w:type="paragraph" w:customStyle="1" w:styleId="176">
    <w:name w:val="arrow_dot"/>
    <w:basedOn w:val="1"/>
    <w:uiPriority w:val="0"/>
    <w:pPr>
      <w:spacing w:before="100" w:beforeAutospacing="1" w:after="100" w:afterAutospacing="1"/>
    </w:pPr>
  </w:style>
  <w:style w:type="paragraph" w:customStyle="1" w:styleId="177">
    <w:name w:val="mod_subcate_side"/>
    <w:basedOn w:val="1"/>
    <w:uiPriority w:val="0"/>
    <w:pPr>
      <w:spacing w:before="100" w:beforeAutospacing="1" w:after="100" w:afterAutospacing="1"/>
    </w:pPr>
  </w:style>
  <w:style w:type="paragraph" w:customStyle="1" w:styleId="178">
    <w:name w:val="on"/>
    <w:basedOn w:val="1"/>
    <w:uiPriority w:val="0"/>
    <w:pPr>
      <w:spacing w:before="100" w:beforeAutospacing="1" w:after="100" w:afterAutospacing="1"/>
    </w:pPr>
  </w:style>
  <w:style w:type="paragraph" w:customStyle="1" w:styleId="179">
    <w:name w:val="left1"/>
    <w:basedOn w:val="1"/>
    <w:uiPriority w:val="0"/>
    <w:pPr>
      <w:spacing w:before="100" w:beforeAutospacing="1" w:after="100" w:afterAutospacing="1"/>
    </w:pPr>
  </w:style>
  <w:style w:type="paragraph" w:customStyle="1" w:styleId="180">
    <w:name w:val="left2"/>
    <w:basedOn w:val="1"/>
    <w:uiPriority w:val="0"/>
    <w:pPr>
      <w:spacing w:before="100" w:beforeAutospacing="1" w:after="100" w:afterAutospacing="1"/>
    </w:pPr>
  </w:style>
  <w:style w:type="paragraph" w:customStyle="1" w:styleId="181">
    <w:name w:val="right1"/>
    <w:basedOn w:val="1"/>
    <w:uiPriority w:val="0"/>
    <w:pPr>
      <w:spacing w:before="100" w:beforeAutospacing="1" w:after="100" w:afterAutospacing="1"/>
    </w:pPr>
  </w:style>
  <w:style w:type="paragraph" w:customStyle="1" w:styleId="182">
    <w:name w:val="right2"/>
    <w:basedOn w:val="1"/>
    <w:uiPriority w:val="0"/>
    <w:pPr>
      <w:spacing w:before="100" w:beforeAutospacing="1" w:after="100" w:afterAutospacing="1"/>
    </w:pPr>
  </w:style>
  <w:style w:type="paragraph" w:customStyle="1" w:styleId="183">
    <w:name w:val="tab_menu"/>
    <w:basedOn w:val="1"/>
    <w:uiPriority w:val="0"/>
    <w:pPr>
      <w:spacing w:before="100" w:beforeAutospacing="1" w:after="100" w:afterAutospacing="1"/>
    </w:pPr>
  </w:style>
  <w:style w:type="paragraph" w:customStyle="1" w:styleId="184">
    <w:name w:val="tab_box"/>
    <w:basedOn w:val="1"/>
    <w:uiPriority w:val="0"/>
    <w:pPr>
      <w:spacing w:before="100" w:beforeAutospacing="1" w:after="100" w:afterAutospacing="1"/>
    </w:pPr>
  </w:style>
  <w:style w:type="paragraph" w:customStyle="1" w:styleId="185">
    <w:name w:val="prev"/>
    <w:basedOn w:val="1"/>
    <w:uiPriority w:val="0"/>
    <w:pPr>
      <w:spacing w:before="100" w:beforeAutospacing="1" w:after="100" w:afterAutospacing="1"/>
    </w:pPr>
  </w:style>
  <w:style w:type="paragraph" w:customStyle="1" w:styleId="186">
    <w:name w:val="next"/>
    <w:basedOn w:val="1"/>
    <w:uiPriority w:val="0"/>
    <w:pPr>
      <w:spacing w:before="100" w:beforeAutospacing="1" w:after="100" w:afterAutospacing="1"/>
    </w:pPr>
  </w:style>
  <w:style w:type="paragraph" w:customStyle="1" w:styleId="187">
    <w:name w:val="pager"/>
    <w:basedOn w:val="1"/>
    <w:uiPriority w:val="0"/>
    <w:pPr>
      <w:spacing w:before="100" w:beforeAutospacing="1" w:after="100" w:afterAutospacing="1"/>
    </w:pPr>
  </w:style>
  <w:style w:type="paragraph" w:customStyle="1" w:styleId="188">
    <w:name w:val="mod_btn_arrow"/>
    <w:basedOn w:val="1"/>
    <w:uiPriority w:val="0"/>
    <w:pPr>
      <w:spacing w:before="100" w:beforeAutospacing="1" w:after="100" w:afterAutospacing="1"/>
    </w:pPr>
  </w:style>
  <w:style w:type="character" w:customStyle="1" w:styleId="189">
    <w:name w:val="hot"/>
    <w:basedOn w:val="12"/>
    <w:uiPriority w:val="0"/>
  </w:style>
  <w:style w:type="character" w:customStyle="1" w:styleId="190">
    <w:name w:val="time"/>
    <w:basedOn w:val="12"/>
    <w:uiPriority w:val="0"/>
  </w:style>
  <w:style w:type="character" w:customStyle="1" w:styleId="191">
    <w:name w:val="hot1"/>
    <w:basedOn w:val="12"/>
    <w:uiPriority w:val="0"/>
  </w:style>
  <w:style w:type="paragraph" w:customStyle="1" w:styleId="192">
    <w:name w:val="mod_cate_hd1"/>
    <w:basedOn w:val="1"/>
    <w:uiPriority w:val="0"/>
    <w:pPr>
      <w:pBdr>
        <w:bottom w:val="single" w:color="3487F2" w:sz="6" w:space="0"/>
      </w:pBdr>
      <w:shd w:val="clear" w:color="auto" w:fill="4593FD"/>
      <w:spacing w:before="100" w:beforeAutospacing="1" w:after="100" w:afterAutospacing="1" w:line="630" w:lineRule="atLeast"/>
      <w:ind w:firstLine="105"/>
    </w:pPr>
    <w:rPr>
      <w:rFonts w:ascii="微软雅黑" w:hAnsi="微软雅黑"/>
      <w:color w:val="FFFFFF"/>
    </w:rPr>
  </w:style>
  <w:style w:type="paragraph" w:customStyle="1" w:styleId="193">
    <w:name w:val="mod_cate1"/>
    <w:basedOn w:val="1"/>
    <w:uiPriority w:val="0"/>
    <w:pPr>
      <w:pBdr>
        <w:top w:val="single" w:color="5AA1FE" w:sz="6" w:space="7"/>
        <w:bottom w:val="single" w:color="3487F2" w:sz="6" w:space="8"/>
      </w:pBdr>
      <w:spacing w:before="100" w:beforeAutospacing="1" w:after="100" w:afterAutospacing="1"/>
    </w:pPr>
  </w:style>
  <w:style w:type="paragraph" w:customStyle="1" w:styleId="194">
    <w:name w:val="mod_cate21"/>
    <w:basedOn w:val="1"/>
    <w:uiPriority w:val="0"/>
    <w:pPr>
      <w:pBdr>
        <w:top w:val="single" w:color="5AA1FE" w:sz="6" w:space="7"/>
        <w:bottom w:val="single" w:color="3487F2" w:sz="6" w:space="8"/>
      </w:pBdr>
      <w:spacing w:before="100" w:beforeAutospacing="1" w:after="100" w:afterAutospacing="1"/>
    </w:pPr>
  </w:style>
  <w:style w:type="paragraph" w:customStyle="1" w:styleId="195">
    <w:name w:val="mod_cate_r1"/>
    <w:basedOn w:val="1"/>
    <w:uiPriority w:val="0"/>
    <w:pPr>
      <w:spacing w:before="100" w:beforeAutospacing="1" w:after="100" w:afterAutospacing="1" w:line="360" w:lineRule="atLeast"/>
    </w:pPr>
  </w:style>
  <w:style w:type="paragraph" w:customStyle="1" w:styleId="196">
    <w:name w:val="mod_subcate1"/>
    <w:basedOn w:val="1"/>
    <w:uiPriority w:val="0"/>
    <w:pPr>
      <w:pBdr>
        <w:top w:val="single" w:color="4594FD" w:sz="12" w:space="0"/>
        <w:left w:val="single" w:color="4594FD" w:sz="12" w:space="0"/>
        <w:bottom w:val="single" w:color="4594FD" w:sz="12" w:space="0"/>
        <w:right w:val="single" w:color="4594FD" w:sz="12" w:space="0"/>
      </w:pBdr>
      <w:shd w:val="clear" w:color="auto" w:fill="FFFFFF"/>
      <w:spacing w:before="100" w:beforeAutospacing="1" w:after="100" w:afterAutospacing="1"/>
    </w:pPr>
    <w:rPr>
      <w:vanish/>
    </w:rPr>
  </w:style>
  <w:style w:type="paragraph" w:customStyle="1" w:styleId="197">
    <w:name w:val="mod_subcate_main1"/>
    <w:basedOn w:val="1"/>
    <w:uiPriority w:val="0"/>
    <w:pPr>
      <w:pBdr>
        <w:right w:val="single" w:color="DDDDDD" w:sz="6" w:space="15"/>
      </w:pBdr>
      <w:spacing w:before="100" w:beforeAutospacing="1"/>
    </w:pPr>
  </w:style>
  <w:style w:type="paragraph" w:customStyle="1" w:styleId="198">
    <w:name w:val="mod_subcate_line1"/>
    <w:basedOn w:val="1"/>
    <w:uiPriority w:val="0"/>
    <w:pPr>
      <w:pBdr>
        <w:top w:val="single" w:color="FFFFFF" w:sz="36" w:space="0"/>
        <w:bottom w:val="dotted" w:color="DADADA" w:sz="6" w:space="0"/>
      </w:pBdr>
      <w:spacing w:before="100" w:beforeAutospacing="1" w:after="75"/>
    </w:pPr>
    <w:rPr>
      <w:sz w:val="2"/>
      <w:szCs w:val="2"/>
    </w:rPr>
  </w:style>
  <w:style w:type="paragraph" w:customStyle="1" w:styleId="199">
    <w:name w:val="mod_subcate_channel1"/>
    <w:basedOn w:val="1"/>
    <w:uiPriority w:val="0"/>
    <w:pPr>
      <w:spacing w:before="225" w:after="100" w:afterAutospacing="1"/>
    </w:pPr>
  </w:style>
  <w:style w:type="paragraph" w:customStyle="1" w:styleId="200">
    <w:name w:val="mod_btn_arrow1"/>
    <w:basedOn w:val="1"/>
    <w:uiPriority w:val="0"/>
    <w:pPr>
      <w:shd w:val="clear" w:color="auto" w:fill="2785E6"/>
      <w:spacing w:before="100" w:beforeAutospacing="1" w:after="100" w:afterAutospacing="1" w:line="390" w:lineRule="atLeast"/>
      <w:ind w:left="75"/>
    </w:pPr>
    <w:rPr>
      <w:color w:val="FFFFFF"/>
      <w:sz w:val="18"/>
      <w:szCs w:val="18"/>
    </w:rPr>
  </w:style>
  <w:style w:type="paragraph" w:customStyle="1" w:styleId="201">
    <w:name w:val="arrow_dot1"/>
    <w:basedOn w:val="1"/>
    <w:uiPriority w:val="0"/>
    <w:pPr>
      <w:pBdr>
        <w:left w:val="single" w:color="FFFFFF" w:sz="24" w:space="0"/>
      </w:pBdr>
      <w:spacing w:before="135"/>
      <w:ind w:left="75"/>
    </w:pPr>
    <w:rPr>
      <w:sz w:val="2"/>
      <w:szCs w:val="2"/>
    </w:rPr>
  </w:style>
  <w:style w:type="paragraph" w:customStyle="1" w:styleId="202">
    <w:name w:val="mod_subcate_side1"/>
    <w:basedOn w:val="1"/>
    <w:uiPriority w:val="0"/>
    <w:pPr>
      <w:spacing w:before="100" w:beforeAutospacing="1"/>
    </w:pPr>
  </w:style>
  <w:style w:type="paragraph" w:customStyle="1" w:styleId="203">
    <w:name w:val="on1"/>
    <w:basedOn w:val="1"/>
    <w:uiPriority w:val="0"/>
    <w:pPr>
      <w:pBdr>
        <w:top w:val="single" w:color="5AA1FE" w:sz="12" w:space="6"/>
        <w:bottom w:val="single" w:color="3487F2" w:sz="12" w:space="7"/>
      </w:pBdr>
      <w:shd w:val="clear" w:color="auto" w:fill="FFFFFF"/>
      <w:spacing w:before="100" w:beforeAutospacing="1" w:after="100" w:afterAutospacing="1"/>
      <w:ind w:left="30"/>
    </w:pPr>
  </w:style>
  <w:style w:type="paragraph" w:customStyle="1" w:styleId="204">
    <w:name w:val="mod_subcate2"/>
    <w:basedOn w:val="1"/>
    <w:uiPriority w:val="0"/>
    <w:pPr>
      <w:pBdr>
        <w:top w:val="single" w:color="4594FD" w:sz="12" w:space="0"/>
        <w:left w:val="single" w:color="4594FD" w:sz="12" w:space="0"/>
        <w:bottom w:val="single" w:color="4594FD" w:sz="12" w:space="0"/>
        <w:right w:val="single" w:color="4594FD" w:sz="12" w:space="0"/>
      </w:pBdr>
      <w:shd w:val="clear" w:color="auto" w:fill="FFFFFF"/>
      <w:spacing w:before="100" w:beforeAutospacing="1" w:after="100" w:afterAutospacing="1"/>
    </w:pPr>
  </w:style>
  <w:style w:type="character" w:customStyle="1" w:styleId="205">
    <w:name w:val="time1"/>
    <w:basedOn w:val="12"/>
    <w:uiPriority w:val="0"/>
    <w:rPr>
      <w:color w:val="999999"/>
      <w:sz w:val="18"/>
      <w:szCs w:val="18"/>
    </w:rPr>
  </w:style>
  <w:style w:type="paragraph" w:customStyle="1" w:styleId="206">
    <w:name w:val="left11"/>
    <w:basedOn w:val="1"/>
    <w:uiPriority w:val="0"/>
  </w:style>
  <w:style w:type="paragraph" w:customStyle="1" w:styleId="207">
    <w:name w:val="left21"/>
    <w:basedOn w:val="1"/>
    <w:uiPriority w:val="0"/>
    <w:pPr>
      <w:spacing w:after="1500"/>
    </w:pPr>
  </w:style>
  <w:style w:type="paragraph" w:customStyle="1" w:styleId="208">
    <w:name w:val="right11"/>
    <w:basedOn w:val="1"/>
    <w:uiPriority w:val="0"/>
    <w:pPr>
      <w:spacing w:before="30"/>
    </w:pPr>
    <w:rPr>
      <w:sz w:val="21"/>
      <w:szCs w:val="21"/>
    </w:rPr>
  </w:style>
  <w:style w:type="paragraph" w:customStyle="1" w:styleId="209">
    <w:name w:val="right21"/>
    <w:basedOn w:val="1"/>
    <w:uiPriority w:val="0"/>
    <w:pPr>
      <w:spacing w:before="100" w:beforeAutospacing="1" w:after="100" w:afterAutospacing="1"/>
      <w:jc w:val="right"/>
    </w:pPr>
    <w:rPr>
      <w:sz w:val="21"/>
      <w:szCs w:val="21"/>
    </w:rPr>
  </w:style>
  <w:style w:type="paragraph" w:customStyle="1" w:styleId="210">
    <w:name w:val="tab-hd1"/>
    <w:basedOn w:val="1"/>
    <w:uiPriority w:val="0"/>
    <w:pPr>
      <w:shd w:val="clear" w:color="auto" w:fill="F7F7F7"/>
      <w:spacing w:before="100" w:beforeAutospacing="1" w:after="100" w:afterAutospacing="1"/>
    </w:pPr>
  </w:style>
  <w:style w:type="paragraph" w:customStyle="1" w:styleId="211">
    <w:name w:val="box-hd1"/>
    <w:basedOn w:val="1"/>
    <w:uiPriority w:val="0"/>
    <w:pPr>
      <w:shd w:val="clear" w:color="auto" w:fill="F7F7F7"/>
      <w:spacing w:before="100" w:beforeAutospacing="1" w:after="100" w:afterAutospacing="1"/>
    </w:pPr>
  </w:style>
  <w:style w:type="paragraph" w:customStyle="1" w:styleId="212">
    <w:name w:val="current1"/>
    <w:basedOn w:val="1"/>
    <w:uiPriority w:val="0"/>
    <w:pPr>
      <w:spacing w:before="100" w:beforeAutospacing="1" w:after="100" w:afterAutospacing="1"/>
    </w:pPr>
    <w:rPr>
      <w:b/>
      <w:bCs/>
    </w:rPr>
  </w:style>
  <w:style w:type="paragraph" w:customStyle="1" w:styleId="213">
    <w:name w:val="tab-hd-con1"/>
    <w:basedOn w:val="1"/>
    <w:uiPriority w:val="0"/>
    <w:pPr>
      <w:spacing w:before="100" w:beforeAutospacing="1" w:after="100" w:afterAutospacing="1"/>
      <w:jc w:val="center"/>
    </w:pPr>
    <w:rPr>
      <w:sz w:val="21"/>
      <w:szCs w:val="21"/>
    </w:rPr>
  </w:style>
  <w:style w:type="paragraph" w:customStyle="1" w:styleId="214">
    <w:name w:val="tab-hd-con2"/>
    <w:basedOn w:val="1"/>
    <w:uiPriority w:val="0"/>
    <w:pPr>
      <w:spacing w:before="100" w:beforeAutospacing="1" w:after="100" w:afterAutospacing="1"/>
      <w:jc w:val="center"/>
    </w:pPr>
    <w:rPr>
      <w:sz w:val="21"/>
      <w:szCs w:val="21"/>
    </w:rPr>
  </w:style>
  <w:style w:type="paragraph" w:customStyle="1" w:styleId="215">
    <w:name w:val="current2"/>
    <w:basedOn w:val="1"/>
    <w:uiPriority w:val="0"/>
    <w:pPr>
      <w:spacing w:before="100" w:beforeAutospacing="1" w:after="100" w:afterAutospacing="1"/>
    </w:pPr>
    <w:rPr>
      <w:b/>
      <w:bCs/>
    </w:rPr>
  </w:style>
  <w:style w:type="paragraph" w:customStyle="1" w:styleId="216">
    <w:name w:val="tab-hd-con3"/>
    <w:basedOn w:val="1"/>
    <w:uiPriority w:val="0"/>
    <w:pPr>
      <w:spacing w:before="100" w:beforeAutospacing="1" w:after="100" w:afterAutospacing="1"/>
      <w:jc w:val="center"/>
    </w:pPr>
    <w:rPr>
      <w:sz w:val="21"/>
      <w:szCs w:val="21"/>
    </w:rPr>
  </w:style>
  <w:style w:type="paragraph" w:customStyle="1" w:styleId="217">
    <w:name w:val="current3"/>
    <w:basedOn w:val="1"/>
    <w:uiPriority w:val="0"/>
    <w:pPr>
      <w:spacing w:before="100" w:beforeAutospacing="1" w:after="100" w:afterAutospacing="1"/>
    </w:pPr>
    <w:rPr>
      <w:b/>
      <w:bCs/>
    </w:rPr>
  </w:style>
  <w:style w:type="paragraph" w:customStyle="1" w:styleId="218">
    <w:name w:val="tab-hd-con4"/>
    <w:basedOn w:val="1"/>
    <w:uiPriority w:val="0"/>
    <w:pPr>
      <w:spacing w:before="100" w:beforeAutospacing="1" w:after="100" w:afterAutospacing="1"/>
      <w:jc w:val="center"/>
    </w:pPr>
    <w:rPr>
      <w:sz w:val="21"/>
      <w:szCs w:val="21"/>
    </w:rPr>
  </w:style>
  <w:style w:type="paragraph" w:customStyle="1" w:styleId="219">
    <w:name w:val="current4"/>
    <w:basedOn w:val="1"/>
    <w:uiPriority w:val="0"/>
    <w:pPr>
      <w:spacing w:before="100" w:beforeAutospacing="1" w:after="100" w:afterAutospacing="1"/>
    </w:pPr>
    <w:rPr>
      <w:b/>
      <w:bCs/>
    </w:rPr>
  </w:style>
  <w:style w:type="paragraph" w:customStyle="1" w:styleId="220">
    <w:name w:val="tab-hd-con5"/>
    <w:basedOn w:val="1"/>
    <w:uiPriority w:val="0"/>
    <w:pPr>
      <w:pBdr>
        <w:right w:val="single" w:color="CFCFCF" w:sz="6" w:space="0"/>
      </w:pBdr>
      <w:spacing w:before="100" w:beforeAutospacing="1" w:after="100" w:afterAutospacing="1"/>
      <w:jc w:val="center"/>
    </w:pPr>
    <w:rPr>
      <w:sz w:val="21"/>
      <w:szCs w:val="21"/>
    </w:rPr>
  </w:style>
  <w:style w:type="paragraph" w:customStyle="1" w:styleId="221">
    <w:name w:val="tab-hd2"/>
    <w:basedOn w:val="1"/>
    <w:uiPriority w:val="0"/>
    <w:pPr>
      <w:pBdr>
        <w:left w:val="single" w:color="CFCFCF" w:sz="6" w:space="0"/>
      </w:pBdr>
      <w:spacing w:before="100" w:beforeAutospacing="1" w:after="100" w:afterAutospacing="1" w:line="450" w:lineRule="atLeast"/>
    </w:pPr>
  </w:style>
  <w:style w:type="paragraph" w:customStyle="1" w:styleId="222">
    <w:name w:val="tab-hd3"/>
    <w:basedOn w:val="1"/>
    <w:uiPriority w:val="0"/>
    <w:pPr>
      <w:pBdr>
        <w:left w:val="single" w:color="CFCFCF" w:sz="6" w:space="0"/>
      </w:pBdr>
      <w:spacing w:before="100" w:beforeAutospacing="1" w:after="100" w:afterAutospacing="1" w:line="450" w:lineRule="atLeast"/>
    </w:pPr>
  </w:style>
  <w:style w:type="paragraph" w:customStyle="1" w:styleId="223">
    <w:name w:val="tab-hd4"/>
    <w:basedOn w:val="1"/>
    <w:uiPriority w:val="0"/>
    <w:pPr>
      <w:pBdr>
        <w:left w:val="single" w:color="CFCFCF" w:sz="6" w:space="0"/>
      </w:pBdr>
      <w:spacing w:before="100" w:beforeAutospacing="1" w:after="100" w:afterAutospacing="1" w:line="450" w:lineRule="atLeast"/>
    </w:pPr>
  </w:style>
  <w:style w:type="paragraph" w:customStyle="1" w:styleId="224">
    <w:name w:val="tab-hd5"/>
    <w:basedOn w:val="1"/>
    <w:uiPriority w:val="0"/>
    <w:pPr>
      <w:pBdr>
        <w:left w:val="single" w:color="CFCFCF" w:sz="6" w:space="0"/>
      </w:pBdr>
      <w:spacing w:before="100" w:beforeAutospacing="1" w:after="100" w:afterAutospacing="1" w:line="450" w:lineRule="atLeast"/>
    </w:pPr>
  </w:style>
  <w:style w:type="paragraph" w:customStyle="1" w:styleId="225">
    <w:name w:val="tab-hd-con6"/>
    <w:basedOn w:val="1"/>
    <w:uiPriority w:val="0"/>
    <w:pPr>
      <w:pBdr>
        <w:right w:val="single" w:color="CFCFCF" w:sz="6" w:space="0"/>
      </w:pBdr>
      <w:spacing w:before="100" w:beforeAutospacing="1" w:after="100" w:afterAutospacing="1"/>
      <w:jc w:val="center"/>
    </w:pPr>
    <w:rPr>
      <w:sz w:val="21"/>
      <w:szCs w:val="21"/>
    </w:rPr>
  </w:style>
  <w:style w:type="paragraph" w:customStyle="1" w:styleId="226">
    <w:name w:val="tab-hd-con7"/>
    <w:basedOn w:val="1"/>
    <w:uiPriority w:val="0"/>
    <w:pPr>
      <w:pBdr>
        <w:right w:val="single" w:color="CFCFCF" w:sz="6" w:space="0"/>
      </w:pBdr>
      <w:spacing w:before="100" w:beforeAutospacing="1" w:after="100" w:afterAutospacing="1"/>
      <w:jc w:val="center"/>
    </w:pPr>
    <w:rPr>
      <w:sz w:val="21"/>
      <w:szCs w:val="21"/>
    </w:rPr>
  </w:style>
  <w:style w:type="paragraph" w:customStyle="1" w:styleId="227">
    <w:name w:val="tab-hd-con8"/>
    <w:basedOn w:val="1"/>
    <w:uiPriority w:val="0"/>
    <w:pPr>
      <w:pBdr>
        <w:right w:val="single" w:color="CFCFCF" w:sz="6" w:space="0"/>
      </w:pBdr>
      <w:spacing w:before="100" w:beforeAutospacing="1" w:after="100" w:afterAutospacing="1"/>
      <w:jc w:val="center"/>
    </w:pPr>
    <w:rPr>
      <w:sz w:val="21"/>
      <w:szCs w:val="21"/>
    </w:rPr>
  </w:style>
  <w:style w:type="paragraph" w:customStyle="1" w:styleId="228">
    <w:name w:val="current5"/>
    <w:basedOn w:val="1"/>
    <w:uiPriority w:val="0"/>
    <w:pPr>
      <w:shd w:val="clear" w:color="auto" w:fill="FFFFFF"/>
      <w:spacing w:before="100" w:beforeAutospacing="1" w:after="100" w:afterAutospacing="1"/>
    </w:pPr>
    <w:rPr>
      <w:b/>
      <w:bCs/>
    </w:rPr>
  </w:style>
  <w:style w:type="paragraph" w:customStyle="1" w:styleId="229">
    <w:name w:val="current6"/>
    <w:basedOn w:val="1"/>
    <w:uiPriority w:val="0"/>
    <w:pPr>
      <w:shd w:val="clear" w:color="auto" w:fill="FFFFFF"/>
      <w:spacing w:before="100" w:beforeAutospacing="1" w:after="100" w:afterAutospacing="1"/>
    </w:pPr>
    <w:rPr>
      <w:b/>
      <w:bCs/>
    </w:rPr>
  </w:style>
  <w:style w:type="paragraph" w:customStyle="1" w:styleId="230">
    <w:name w:val="current7"/>
    <w:basedOn w:val="1"/>
    <w:uiPriority w:val="0"/>
    <w:pPr>
      <w:shd w:val="clear" w:color="auto" w:fill="FFFFFF"/>
      <w:spacing w:before="100" w:beforeAutospacing="1" w:after="100" w:afterAutospacing="1"/>
    </w:pPr>
    <w:rPr>
      <w:b/>
      <w:bCs/>
    </w:rPr>
  </w:style>
  <w:style w:type="paragraph" w:customStyle="1" w:styleId="231">
    <w:name w:val="current8"/>
    <w:basedOn w:val="1"/>
    <w:uiPriority w:val="0"/>
    <w:pPr>
      <w:shd w:val="clear" w:color="auto" w:fill="FFFFFF"/>
      <w:spacing w:before="100" w:beforeAutospacing="1" w:after="100" w:afterAutospacing="1"/>
    </w:pPr>
    <w:rPr>
      <w:b/>
      <w:bCs/>
    </w:rPr>
  </w:style>
  <w:style w:type="paragraph" w:customStyle="1" w:styleId="232">
    <w:name w:val="tab-bd1"/>
    <w:basedOn w:val="1"/>
    <w:uiPriority w:val="0"/>
    <w:pPr>
      <w:pBdr>
        <w:top w:val="single" w:color="CFCFCF" w:sz="6" w:space="0"/>
      </w:pBdr>
      <w:spacing w:after="100" w:afterAutospacing="1"/>
    </w:pPr>
  </w:style>
  <w:style w:type="paragraph" w:customStyle="1" w:styleId="233">
    <w:name w:val="tab-bd2"/>
    <w:basedOn w:val="1"/>
    <w:uiPriority w:val="0"/>
    <w:pPr>
      <w:pBdr>
        <w:top w:val="single" w:color="CFCFCF" w:sz="6" w:space="0"/>
        <w:left w:val="single" w:color="CFCFCF" w:sz="6" w:space="0"/>
        <w:bottom w:val="single" w:color="CFCFCF" w:sz="6" w:space="0"/>
        <w:right w:val="single" w:color="CFCFCF" w:sz="6" w:space="0"/>
      </w:pBdr>
      <w:spacing w:after="100" w:afterAutospacing="1"/>
    </w:pPr>
  </w:style>
  <w:style w:type="paragraph" w:customStyle="1" w:styleId="234">
    <w:name w:val="tab-bd3"/>
    <w:basedOn w:val="1"/>
    <w:uiPriority w:val="0"/>
    <w:pPr>
      <w:pBdr>
        <w:top w:val="single" w:color="CFCFCF" w:sz="6" w:space="0"/>
        <w:left w:val="single" w:color="CFCFCF" w:sz="6" w:space="0"/>
        <w:bottom w:val="single" w:color="CFCFCF" w:sz="6" w:space="0"/>
        <w:right w:val="single" w:color="CFCFCF" w:sz="6" w:space="0"/>
      </w:pBdr>
      <w:spacing w:after="100" w:afterAutospacing="1"/>
    </w:pPr>
  </w:style>
  <w:style w:type="paragraph" w:customStyle="1" w:styleId="235">
    <w:name w:val="tab-bd4"/>
    <w:basedOn w:val="1"/>
    <w:uiPriority w:val="0"/>
    <w:pPr>
      <w:pBdr>
        <w:top w:val="single" w:color="CFCFCF" w:sz="6" w:space="0"/>
      </w:pBdr>
      <w:spacing w:after="100" w:afterAutospacing="1"/>
    </w:pPr>
  </w:style>
  <w:style w:type="paragraph" w:customStyle="1" w:styleId="236">
    <w:name w:val="box-bd1"/>
    <w:basedOn w:val="1"/>
    <w:uiPriority w:val="0"/>
    <w:pPr>
      <w:pBdr>
        <w:left w:val="single" w:color="CFCFCF" w:sz="6" w:space="0"/>
        <w:bottom w:val="single" w:color="CFCFCF" w:sz="6" w:space="0"/>
        <w:right w:val="single" w:color="CFCFCF" w:sz="6" w:space="0"/>
      </w:pBdr>
      <w:spacing w:before="100" w:beforeAutospacing="1" w:after="100" w:afterAutospacing="1"/>
    </w:pPr>
  </w:style>
  <w:style w:type="paragraph" w:customStyle="1" w:styleId="237">
    <w:name w:val="tab-bd-con1"/>
    <w:basedOn w:val="1"/>
    <w:uiPriority w:val="0"/>
    <w:pPr>
      <w:spacing w:before="100" w:beforeAutospacing="1" w:after="100" w:afterAutospacing="1"/>
    </w:pPr>
    <w:rPr>
      <w:vanish/>
    </w:rPr>
  </w:style>
  <w:style w:type="paragraph" w:customStyle="1" w:styleId="238">
    <w:name w:val="tab-bd-con2"/>
    <w:basedOn w:val="1"/>
    <w:uiPriority w:val="0"/>
    <w:pPr>
      <w:spacing w:before="100" w:beforeAutospacing="1" w:after="100" w:afterAutospacing="1"/>
    </w:pPr>
    <w:rPr>
      <w:vanish/>
    </w:rPr>
  </w:style>
  <w:style w:type="paragraph" w:customStyle="1" w:styleId="239">
    <w:name w:val="tab-bd-con3"/>
    <w:basedOn w:val="1"/>
    <w:uiPriority w:val="0"/>
    <w:pPr>
      <w:spacing w:before="100" w:beforeAutospacing="1" w:after="100" w:afterAutospacing="1"/>
    </w:pPr>
    <w:rPr>
      <w:vanish/>
    </w:rPr>
  </w:style>
  <w:style w:type="paragraph" w:customStyle="1" w:styleId="240">
    <w:name w:val="tab-bd-con4"/>
    <w:basedOn w:val="1"/>
    <w:uiPriority w:val="0"/>
    <w:pPr>
      <w:spacing w:before="100" w:beforeAutospacing="1" w:after="100" w:afterAutospacing="1"/>
    </w:pPr>
    <w:rPr>
      <w:vanish/>
    </w:rPr>
  </w:style>
  <w:style w:type="paragraph" w:customStyle="1" w:styleId="241">
    <w:name w:val="tab_menu1"/>
    <w:basedOn w:val="1"/>
    <w:uiPriority w:val="0"/>
    <w:pPr>
      <w:shd w:val="clear" w:color="auto" w:fill="F7F7F7"/>
      <w:spacing w:before="100" w:beforeAutospacing="1" w:after="100" w:afterAutospacing="1"/>
    </w:pPr>
    <w:rPr>
      <w:b/>
      <w:bCs/>
      <w:color w:val="666666"/>
    </w:rPr>
  </w:style>
  <w:style w:type="paragraph" w:customStyle="1" w:styleId="242">
    <w:name w:val="tab_box1"/>
    <w:basedOn w:val="1"/>
    <w:uiPriority w:val="0"/>
    <w:pPr>
      <w:shd w:val="clear" w:color="auto" w:fill="206F96"/>
      <w:spacing w:before="100" w:beforeAutospacing="1" w:after="100" w:afterAutospacing="1"/>
      <w:jc w:val="center"/>
    </w:pPr>
    <w:rPr>
      <w:b/>
      <w:bCs/>
      <w:color w:val="FFFFFF"/>
      <w:sz w:val="21"/>
      <w:szCs w:val="21"/>
    </w:rPr>
  </w:style>
  <w:style w:type="paragraph" w:customStyle="1" w:styleId="243">
    <w:name w:val="prev1"/>
    <w:basedOn w:val="1"/>
    <w:uiPriority w:val="0"/>
    <w:pPr>
      <w:spacing w:before="100" w:beforeAutospacing="1" w:after="100" w:afterAutospacing="1"/>
      <w:ind w:left="45" w:hanging="14985"/>
    </w:pPr>
  </w:style>
  <w:style w:type="paragraph" w:customStyle="1" w:styleId="244">
    <w:name w:val="next1"/>
    <w:basedOn w:val="1"/>
    <w:uiPriority w:val="0"/>
    <w:pPr>
      <w:spacing w:before="100" w:beforeAutospacing="1" w:after="100" w:afterAutospacing="1"/>
      <w:ind w:left="45" w:hanging="14985"/>
    </w:pPr>
  </w:style>
  <w:style w:type="paragraph" w:customStyle="1" w:styleId="245">
    <w:name w:val="pager1"/>
    <w:basedOn w:val="1"/>
    <w:uiPriority w:val="0"/>
    <w:pPr>
      <w:ind w:firstLine="300"/>
      <w:jc w:val="center"/>
    </w:pPr>
  </w:style>
  <w:style w:type="paragraph" w:customStyle="1" w:styleId="246">
    <w:name w:val="txt1"/>
    <w:basedOn w:val="1"/>
    <w:uiPriority w:val="0"/>
    <w:pPr>
      <w:spacing w:before="100" w:beforeAutospacing="1" w:after="100" w:afterAutospacing="1" w:line="390" w:lineRule="atLeast"/>
    </w:pPr>
    <w:rPr>
      <w:rFonts w:ascii="微软雅黑" w:hAnsi="微软雅黑" w:eastAsia="微软雅黑"/>
      <w:color w:val="707070"/>
      <w:sz w:val="21"/>
      <w:szCs w:val="21"/>
    </w:rPr>
  </w:style>
  <w:style w:type="paragraph" w:customStyle="1" w:styleId="247">
    <w:name w:val="txt2"/>
    <w:basedOn w:val="1"/>
    <w:uiPriority w:val="0"/>
    <w:pPr>
      <w:spacing w:before="100" w:beforeAutospacing="1" w:after="100" w:afterAutospacing="1" w:line="390" w:lineRule="atLeast"/>
    </w:pPr>
    <w:rPr>
      <w:rFonts w:ascii="微软雅黑" w:hAnsi="微软雅黑" w:eastAsia="微软雅黑"/>
      <w:color w:val="707070"/>
      <w:sz w:val="21"/>
      <w:szCs w:val="21"/>
    </w:rPr>
  </w:style>
  <w:style w:type="character" w:customStyle="1" w:styleId="248">
    <w:name w:val="hot2"/>
    <w:basedOn w:val="12"/>
    <w:uiPriority w:val="0"/>
  </w:style>
  <w:style w:type="character" w:customStyle="1" w:styleId="249">
    <w:name w:val="member"/>
    <w:basedOn w:val="12"/>
    <w:uiPriority w:val="0"/>
  </w:style>
  <w:style w:type="character" w:customStyle="1" w:styleId="250">
    <w:name w:val="批注框文本 Char"/>
    <w:basedOn w:val="12"/>
    <w:link w:val="8"/>
    <w:semiHidden/>
    <w:uiPriority w:val="99"/>
    <w:rPr>
      <w:rFonts w:ascii="宋体" w:hAnsi="宋体" w:eastAsia="宋体" w:cs="宋体"/>
      <w:kern w:val="0"/>
      <w:sz w:val="18"/>
      <w:szCs w:val="18"/>
    </w:rPr>
  </w:style>
  <w:style w:type="character" w:customStyle="1" w:styleId="251">
    <w:name w:val="页眉 Char"/>
    <w:basedOn w:val="12"/>
    <w:link w:val="9"/>
    <w:uiPriority w:val="99"/>
    <w:rPr>
      <w:rFonts w:ascii="宋体" w:hAnsi="宋体" w:eastAsia="宋体" w:cs="宋体"/>
      <w:kern w:val="0"/>
      <w:sz w:val="18"/>
      <w:szCs w:val="18"/>
    </w:rPr>
  </w:style>
  <w:style w:type="character" w:customStyle="1" w:styleId="252">
    <w:name w:val="页脚 Char"/>
    <w:basedOn w:val="12"/>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2520</Words>
  <Characters>14365</Characters>
  <Lines>119</Lines>
  <Paragraphs>33</Paragraphs>
  <TotalTime>0</TotalTime>
  <ScaleCrop>false</ScaleCrop>
  <LinksUpToDate>false</LinksUpToDate>
  <CharactersWithSpaces>16852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2019-05-15T09:42:00Z</dcterms:created>
  <dc:creator>ZZG</dc:creator>
  <cp:lastModifiedBy>jyj305</cp:lastModifiedBy>
  <dcterms:modified xsi:type="dcterms:W3CDTF">2019-05-15T09:50:14Z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